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Đánh giá đạo đức khi sử dụng AI</w:t>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sz w:val="32"/>
          <w:szCs w:val="32"/>
          <w:rtl w:val="0"/>
        </w:rPr>
        <w:t xml:space="preserve">Để sử dụng Canva AI nói riêng và các công cụ AI khác nói chuung một cách minh bạch và có đạo đức khi thiết kế infographic hay những ứng dụng khác, người dùng cần tuân thủ nghiêm ngặt các nguyên tắc trách nhiệm số theo khung DigComp 2.2 và khung năng lực số cho người học (thông tư /2025/TT-BGDDT):</w:t>
      </w:r>
    </w:p>
    <w:p w:rsidR="00000000" w:rsidDel="00000000" w:rsidP="00000000" w:rsidRDefault="00000000" w:rsidRPr="00000000" w14:paraId="00000003">
      <w:pPr>
        <w:numPr>
          <w:ilvl w:val="0"/>
          <w:numId w:val="1"/>
        </w:numPr>
        <w:spacing w:after="0" w:afterAutospacing="0" w:before="280" w:lin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Trước hết, tính minh bạch phải được đảm bảo bằng cách ghi rõ nguồn gốc các thành phần do AI tạo ra (như văn bản, hình ảnh) ngay trên sản phẩm hoặc trong phần mô tả dự án.</w:t>
      </w:r>
    </w:p>
    <w:p w:rsidR="00000000" w:rsidDel="00000000" w:rsidP="00000000" w:rsidRDefault="00000000" w:rsidRPr="00000000" w14:paraId="00000004">
      <w:pPr>
        <w:numPr>
          <w:ilvl w:val="0"/>
          <w:numId w:val="1"/>
        </w:numPr>
        <w:spacing w:after="0" w:afterAutospacing="0" w:before="0" w:beforeAutospacing="0" w:lin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Thứ hai, người thiết kế có trách nhiệm kiểm duyệt kỹ lưỡng nội dung do AI tổng hợp nhằm loại bỏ thiên vị, sai sót thông tin, tránh lan truyền tin giả.</w:t>
      </w:r>
    </w:p>
    <w:p w:rsidR="00000000" w:rsidDel="00000000" w:rsidP="00000000" w:rsidRDefault="00000000" w:rsidRPr="00000000" w14:paraId="00000005">
      <w:pPr>
        <w:numPr>
          <w:ilvl w:val="0"/>
          <w:numId w:val="1"/>
        </w:numPr>
        <w:spacing w:after="280" w:before="0" w:beforeAutospacing="0" w:lin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Cuối cùng, việc kiểm tra bản quyền và quyền sở hữu trí tuệ của các hình ảnh do AI gợi ý là bắt buộc để tôn trọng tác quyền.</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-Sử dụng AI như một công cụ hỗ trợ sáng tạo thay vì thay thế hoàn toàn tư duy con người là cốt lõi của hành vi ứng xử số có trách nhiệm. </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có sự hỗ trợ bởi Gemini AI)</w:t>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8"/>
          <w:szCs w:val="28"/>
          <w:rtl w:val="0"/>
        </w:rPr>
        <w:t xml:space="preserve">tài liệu tham khảo:</w:t>
      </w:r>
      <w:r w:rsidDel="00000000" w:rsidR="00000000" w:rsidRPr="00000000">
        <w:rPr>
          <w:rtl w:val="0"/>
        </w:rPr>
      </w:r>
    </w:p>
    <w:tbl>
      <w:tblPr>
        <w:tblStyle w:val="Table1"/>
        <w:tblW w:w="8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25"/>
        <w:tblGridChange w:id="0">
          <w:tblGrid>
            <w:gridCol w:w="8025"/>
          </w:tblGrid>
        </w:tblGridChange>
      </w:tblGrid>
      <w:tr>
        <w:trPr>
          <w:cantSplit w:val="0"/>
          <w:trHeight w:val="548.96484375" w:hRule="atLeast"/>
          <w:tblHeader w:val="0"/>
        </w:trPr>
        <w:tc>
          <w:tcPr/>
          <w:p w:rsidR="00000000" w:rsidDel="00000000" w:rsidP="00000000" w:rsidRDefault="00000000" w:rsidRPr="00000000" w14:paraId="00000009">
            <w:pPr>
              <w:numPr>
                <w:ilvl w:val="0"/>
                <w:numId w:val="2"/>
              </w:numPr>
              <w:spacing w:before="120" w:line="240" w:lineRule="auto"/>
              <w:ind w:left="59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Giáo dục và Đào tạo (2025). Khung năng lực số cho người học (Thông tư 02/2025/TT-BGDĐT).</w:t>
            </w:r>
          </w:p>
        </w:tc>
      </w:tr>
      <w:tr>
        <w:trPr>
          <w:cantSplit w:val="0"/>
          <w:tblHeader w:val="0"/>
        </w:trPr>
        <w:tc>
          <w:tcPr/>
          <w:p w:rsidR="00000000" w:rsidDel="00000000" w:rsidP="00000000" w:rsidRDefault="00000000" w:rsidRPr="00000000" w14:paraId="0000000A">
            <w:pPr>
              <w:numPr>
                <w:ilvl w:val="0"/>
                <w:numId w:val="2"/>
              </w:numPr>
              <w:spacing w:before="120" w:line="240" w:lineRule="auto"/>
              <w:ind w:left="59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hướng dẫn sử dụng các công cụ số (Google Drive, Canva, Grammarly, Microsoft Word, Google Docs, Microsoft Excel, Google Sheets).</w:t>
            </w:r>
          </w:p>
        </w:tc>
      </w:tr>
      <w:tr>
        <w:trPr>
          <w:cantSplit w:val="0"/>
          <w:tblHeader w:val="0"/>
        </w:trPr>
        <w:tc>
          <w:tcPr/>
          <w:p w:rsidR="00000000" w:rsidDel="00000000" w:rsidP="00000000" w:rsidRDefault="00000000" w:rsidRPr="00000000" w14:paraId="0000000B">
            <w:pPr>
              <w:numPr>
                <w:ilvl w:val="0"/>
                <w:numId w:val="2"/>
              </w:numPr>
              <w:spacing w:before="120" w:line="240" w:lineRule="auto"/>
              <w:ind w:left="59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JRC (2022). DigComp 2.2: The Digital Competence Framework for Citizens with new examples of knowledge, skills and attitudes. Joint Research Centre, European Union.</w:t>
            </w:r>
          </w:p>
        </w:tc>
      </w:tr>
      <w:tr>
        <w:trPr>
          <w:cantSplit w:val="0"/>
          <w:tblHeader w:val="0"/>
        </w:trPr>
        <w:tc>
          <w:tcPr/>
          <w:p w:rsidR="00000000" w:rsidDel="00000000" w:rsidP="00000000" w:rsidRDefault="00000000" w:rsidRPr="00000000" w14:paraId="0000000C">
            <w:pPr>
              <w:numPr>
                <w:ilvl w:val="0"/>
                <w:numId w:val="2"/>
              </w:numPr>
              <w:spacing w:before="120" w:line="240" w:lineRule="auto"/>
              <w:ind w:left="59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UNESCO (2018). A Global Framework of Reference on Digital Literacy Skills for Indicator 4.4.2. UNESCO.</w:t>
            </w:r>
          </w:p>
        </w:tc>
      </w:tr>
      <w:tr>
        <w:trPr>
          <w:cantSplit w:val="0"/>
          <w:tblHeader w:val="0"/>
        </w:trPr>
        <w:tc>
          <w:tcPr/>
          <w:p w:rsidR="00000000" w:rsidDel="00000000" w:rsidP="00000000" w:rsidRDefault="00000000" w:rsidRPr="00000000" w14:paraId="0000000D">
            <w:pPr>
              <w:numPr>
                <w:ilvl w:val="0"/>
                <w:numId w:val="2"/>
              </w:numPr>
              <w:spacing w:before="120" w:line="240" w:lineRule="auto"/>
              <w:ind w:left="59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OECD (2019). OECD Skills Outlook 2019: Thriving in a Digital World. OECD Publishing.</w:t>
            </w:r>
          </w:p>
        </w:tc>
      </w:tr>
      <w:tr>
        <w:trPr>
          <w:cantSplit w:val="0"/>
          <w:tblHeader w:val="0"/>
        </w:trPr>
        <w:tc>
          <w:tcPr/>
          <w:p w:rsidR="00000000" w:rsidDel="00000000" w:rsidP="00000000" w:rsidRDefault="00000000" w:rsidRPr="00000000" w14:paraId="0000000E">
            <w:pPr>
              <w:numPr>
                <w:ilvl w:val="0"/>
                <w:numId w:val="2"/>
              </w:numPr>
              <w:spacing w:before="120" w:line="240" w:lineRule="auto"/>
              <w:ind w:left="59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Redecker, C. (2017). European Framework for the Digital Competence of Educators: DigCompEdu. Joint Research Centre, European Union.</w:t>
            </w:r>
          </w:p>
        </w:tc>
      </w:tr>
    </w:tbl>
    <w:p w:rsidR="00000000" w:rsidDel="00000000" w:rsidP="00000000" w:rsidRDefault="00000000" w:rsidRPr="00000000" w14:paraId="0000000F">
      <w:pPr>
        <w:spacing w:before="120" w:line="240" w:lineRule="auto"/>
        <w:jc w:val="both"/>
        <w:rPr>
          <w:rFonts w:ascii="Times New Roman" w:cs="Times New Roman" w:eastAsia="Times New Roman" w:hAnsi="Times New Roman"/>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