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4651" w14:textId="4FF6EB63" w:rsidR="003E3CAE" w:rsidRDefault="001E74B1" w:rsidP="001E74B1">
      <w:pPr>
        <w:spacing w:line="360" w:lineRule="auto"/>
        <w:jc w:val="center"/>
        <w:rPr>
          <w:rFonts w:hint="eastAsia"/>
        </w:rPr>
      </w:pPr>
      <w:r>
        <w:rPr>
          <w:rFonts w:ascii="Times New Roman" w:hAnsi="Times New Roman"/>
          <w:sz w:val="28"/>
          <w:szCs w:val="28"/>
        </w:rPr>
        <w:t>The effect of response options on gender categorization</w:t>
      </w:r>
      <w:r w:rsidR="00000000">
        <w:rPr>
          <w:rFonts w:ascii="Times New Roman" w:hAnsi="Times New Roman"/>
          <w:sz w:val="28"/>
          <w:szCs w:val="28"/>
        </w:rPr>
        <w:t xml:space="preserve"> (</w:t>
      </w:r>
      <w:del w:id="0" w:author="Elli van Berlekom" w:date="2021-10-05T11:18:00Z">
        <w:r w:rsidR="00000000">
          <w:rPr>
            <w:rFonts w:ascii="Times New Roman" w:hAnsi="Times New Roman"/>
            <w:sz w:val="28"/>
            <w:szCs w:val="28"/>
          </w:rPr>
          <w:delText>Extremely</w:delText>
        </w:r>
      </w:del>
      <w:r w:rsidR="00000000">
        <w:rPr>
          <w:rFonts w:ascii="Times New Roman" w:hAnsi="Times New Roman"/>
          <w:sz w:val="28"/>
          <w:szCs w:val="28"/>
        </w:rPr>
        <w:t xml:space="preserve"> provisional title)</w:t>
      </w:r>
    </w:p>
    <w:p w14:paraId="4BA97574" w14:textId="77777777" w:rsidR="003E3CAE" w:rsidRDefault="003E3CAE" w:rsidP="001E74B1">
      <w:pPr>
        <w:spacing w:line="360" w:lineRule="auto"/>
        <w:rPr>
          <w:rFonts w:ascii="Times New Roman" w:hAnsi="Times New Roman"/>
          <w:b/>
          <w:bCs/>
        </w:rPr>
      </w:pPr>
    </w:p>
    <w:p w14:paraId="6E118ACA" w14:textId="444B7A8D" w:rsidR="001E74B1" w:rsidRDefault="001E74B1" w:rsidP="001E74B1">
      <w:pPr>
        <w:spacing w:line="360" w:lineRule="auto"/>
        <w:ind w:firstLine="709"/>
        <w:rPr>
          <w:rFonts w:ascii="Times New Roman" w:hAnsi="Times New Roman"/>
        </w:rPr>
      </w:pPr>
      <w:r>
        <w:rPr>
          <w:rFonts w:ascii="Times New Roman" w:hAnsi="Times New Roman"/>
        </w:rPr>
        <w:t>The experience of transgender and gender diverse (TGD) individuals suggests that sex/gender</w:t>
      </w:r>
      <w:r>
        <w:rPr>
          <w:rStyle w:val="FootnoteReference"/>
          <w:rFonts w:ascii="Times New Roman" w:hAnsi="Times New Roman"/>
        </w:rPr>
        <w:footnoteReference w:id="1"/>
      </w:r>
      <w:r>
        <w:rPr>
          <w:rFonts w:ascii="Times New Roman" w:hAnsi="Times New Roman"/>
        </w:rPr>
        <w:t xml:space="preserve"> is a fluid category which can vary along a wide spectrum. In contrast, social categorization and face perception research often treats gender as a binary consisting of women and men (for example Webster et al., 2004).  This is problematic because it indirectly delegitimizes TGD individuals’ experiences. Additionally, it may restrict participants’ answer, similar to how ratings of age along an old/young binary would restrict and distort ratings of age </w:t>
      </w:r>
      <w:r>
        <w:t>variation (see Westbrook &amp; Saperstein, 2015; Lindqvist et al., 2019)</w:t>
      </w:r>
      <w:r>
        <w:rPr>
          <w:rFonts w:ascii="Times New Roman" w:hAnsi="Times New Roman"/>
        </w:rPr>
        <w:t>. Furthermore, it may distort answers by communicating ideas about gender.  I</w:t>
      </w:r>
      <w:r>
        <w:rPr>
          <w:rFonts w:ascii="Times New Roman" w:hAnsi="Times New Roman"/>
        </w:rPr>
        <w:t xml:space="preserve">n this study, we aimed to investigate how </w:t>
      </w:r>
      <w:r>
        <w:rPr>
          <w:rFonts w:ascii="Times New Roman" w:hAnsi="Times New Roman"/>
        </w:rPr>
        <w:t>various gender categorization paradigms influence participants’ categorizations of faces</w:t>
      </w:r>
      <w:r>
        <w:rPr>
          <w:rFonts w:ascii="Times New Roman" w:hAnsi="Times New Roman"/>
        </w:rPr>
        <w:t xml:space="preserve">. </w:t>
      </w:r>
    </w:p>
    <w:p w14:paraId="6F198FDA" w14:textId="139644A8" w:rsidR="001E74B1" w:rsidRDefault="001E74B1" w:rsidP="001E74B1">
      <w:pPr>
        <w:spacing w:line="360" w:lineRule="auto"/>
        <w:ind w:firstLine="709"/>
        <w:rPr>
          <w:rFonts w:ascii="Times New Roman" w:hAnsi="Times New Roman"/>
        </w:rPr>
      </w:pPr>
      <w:r>
        <w:rPr>
          <w:rFonts w:ascii="Times New Roman" w:hAnsi="Times New Roman"/>
          <w:color w:val="000000"/>
        </w:rPr>
        <w:t xml:space="preserve">A cursory glance at the literature on gender categorization reveals that the vast majority explicitly or implicitly suggest to participants that gender consists of the </w:t>
      </w:r>
      <w:proofErr w:type="gramStart"/>
      <w:r>
        <w:rPr>
          <w:rFonts w:ascii="Times New Roman" w:hAnsi="Times New Roman"/>
          <w:color w:val="000000"/>
        </w:rPr>
        <w:t>categories</w:t>
      </w:r>
      <w:proofErr w:type="gramEnd"/>
      <w:r>
        <w:rPr>
          <w:rFonts w:ascii="Times New Roman" w:hAnsi="Times New Roman"/>
          <w:color w:val="000000"/>
        </w:rPr>
        <w:t xml:space="preserve"> woman and man only. The most common method to measure gender categorization is a force-choice task, where participants are presented with a face and the choices are “female” and “male” </w:t>
      </w:r>
      <w:r>
        <w:rPr>
          <w:rFonts w:ascii="Times New Roman" w:hAnsi="Times New Roman"/>
        </w:rPr>
        <w:t>(</w:t>
      </w:r>
      <w:r>
        <w:rPr>
          <w:rFonts w:ascii="Times New Roman" w:hAnsi="Times New Roman"/>
        </w:rPr>
        <w:t xml:space="preserve">see for example, Cloutier et al., 2005; Campanella et al., 2001; Webster et al., 2004; Zhao &amp; </w:t>
      </w:r>
      <w:proofErr w:type="spellStart"/>
      <w:r>
        <w:rPr>
          <w:rFonts w:ascii="Times New Roman" w:hAnsi="Times New Roman"/>
        </w:rPr>
        <w:t>Bentin</w:t>
      </w:r>
      <w:proofErr w:type="spellEnd"/>
      <w:r>
        <w:rPr>
          <w:rFonts w:ascii="Times New Roman" w:hAnsi="Times New Roman"/>
        </w:rPr>
        <w:t xml:space="preserve">, 2008). A slightly different task asks participants to rate the faces on gender as a quality, rather than a category, often with “feminine” and “masculine” as endpoints on a single </w:t>
      </w:r>
      <w:r>
        <w:rPr>
          <w:rFonts w:ascii="Times New Roman" w:hAnsi="Times New Roman"/>
        </w:rPr>
        <w:t>scale (</w:t>
      </w:r>
      <w:proofErr w:type="gramStart"/>
      <w:r>
        <w:rPr>
          <w:rFonts w:ascii="Times New Roman" w:hAnsi="Times New Roman"/>
        </w:rPr>
        <w:t>e.g.</w:t>
      </w:r>
      <w:proofErr w:type="gramEnd"/>
      <w:r>
        <w:rPr>
          <w:rFonts w:ascii="Times New Roman" w:hAnsi="Times New Roman"/>
        </w:rPr>
        <w:t xml:space="preserve"> </w:t>
      </w:r>
      <w:proofErr w:type="spellStart"/>
      <w:r>
        <w:rPr>
          <w:rFonts w:ascii="Times New Roman" w:hAnsi="Times New Roman"/>
        </w:rPr>
        <w:t>D’Ascenzo</w:t>
      </w:r>
      <w:proofErr w:type="spellEnd"/>
      <w:r>
        <w:rPr>
          <w:rFonts w:ascii="Times New Roman" w:hAnsi="Times New Roman"/>
        </w:rPr>
        <w:t xml:space="preserve"> et al., 2015; others). Overall, despite some variations, this is a literature where </w:t>
      </w:r>
      <w:r>
        <w:rPr>
          <w:rFonts w:ascii="Times New Roman" w:hAnsi="Times New Roman"/>
          <w:color w:val="000000"/>
        </w:rPr>
        <w:t xml:space="preserve">gender is frequently </w:t>
      </w:r>
      <w:r>
        <w:rPr>
          <w:rFonts w:ascii="Times New Roman" w:hAnsi="Times New Roman"/>
          <w:color w:val="000000"/>
        </w:rPr>
        <w:t>is presented as a binary.</w:t>
      </w:r>
    </w:p>
    <w:p w14:paraId="4BA71D83" w14:textId="054B1C04" w:rsidR="001E74B1" w:rsidRDefault="001E74B1" w:rsidP="001E74B1">
      <w:pPr>
        <w:spacing w:line="360" w:lineRule="auto"/>
        <w:ind w:firstLine="709"/>
        <w:rPr>
          <w:rFonts w:ascii="Times New Roman" w:hAnsi="Times New Roman"/>
        </w:rPr>
      </w:pPr>
      <w:r>
        <w:rPr>
          <w:rFonts w:ascii="Times New Roman" w:hAnsi="Times New Roman"/>
        </w:rPr>
        <w:t xml:space="preserve">Presenting gender as a binary communicates to participants that the researchers do not view non-binary genders as legitimate. For TGD individuals, this may contribute to a wider pattern of </w:t>
      </w:r>
      <w:proofErr w:type="spellStart"/>
      <w:r>
        <w:rPr>
          <w:rFonts w:ascii="Times New Roman" w:hAnsi="Times New Roman"/>
        </w:rPr>
        <w:t>cisgenderism</w:t>
      </w:r>
      <w:proofErr w:type="spellEnd"/>
      <w:r>
        <w:rPr>
          <w:rFonts w:ascii="Times New Roman" w:hAnsi="Times New Roman"/>
        </w:rPr>
        <w:t xml:space="preserve">, the ideology that discards people’s own conception of their gender identity. Researchers may raise the objection that binary response options may be the most suitable for the research question or the planned statistical analyses. This may be the case, but it should be weighed against the real harm that is being done by these options.   </w:t>
      </w:r>
    </w:p>
    <w:p w14:paraId="43A11CE1" w14:textId="77777777" w:rsidR="001E74B1" w:rsidRDefault="001E74B1" w:rsidP="001E74B1">
      <w:pPr>
        <w:spacing w:line="360" w:lineRule="auto"/>
        <w:ind w:firstLine="709"/>
        <w:rPr>
          <w:rFonts w:ascii="Times New Roman" w:hAnsi="Times New Roman"/>
        </w:rPr>
      </w:pPr>
      <w:r>
        <w:t xml:space="preserve">Furthermore, it is worth questioning whether a binary forced choice is ever the most appropriate method to measure gender categorization. This position seems to be premised on the assumption that there is some fundamental basis to gender, a truth which can be distorted. According to this view, binary is the neutral way to measure sex/gender categorization and anything else is the result of agenda-driven or political motivations. If gender is instead viewed as a social construct, which arise as a result of repeated discourse, this suggests that there is no neutral way to </w:t>
      </w:r>
      <w:r>
        <w:lastRenderedPageBreak/>
        <w:t>measure gender categorization. Rather, there are multiple alternatives which come with their own limitations and restrictions or suggestions.</w:t>
      </w:r>
      <w:r w:rsidR="00000000">
        <w:t xml:space="preserve"> </w:t>
      </w:r>
    </w:p>
    <w:p w14:paraId="3694F464" w14:textId="432F5F1A" w:rsidR="001E74B1" w:rsidRDefault="001E74B1" w:rsidP="001E74B1">
      <w:pPr>
        <w:spacing w:line="360" w:lineRule="auto"/>
        <w:ind w:firstLine="709"/>
        <w:rPr>
          <w:rFonts w:ascii="Times New Roman" w:hAnsi="Times New Roman"/>
        </w:rPr>
      </w:pPr>
      <w:r>
        <w:rPr>
          <w:rFonts w:ascii="Times New Roman" w:hAnsi="Times New Roman"/>
          <w:color w:val="000000"/>
        </w:rPr>
        <w:t>Indeed, gender can be measured in many different ways, with drastically varying results.</w:t>
      </w:r>
      <w:r w:rsidR="00000000">
        <w:rPr>
          <w:rFonts w:ascii="Times New Roman" w:hAnsi="Times New Roman"/>
        </w:rPr>
        <w:t xml:space="preserve"> For example, </w:t>
      </w:r>
      <w:proofErr w:type="spellStart"/>
      <w:r w:rsidR="00000000">
        <w:rPr>
          <w:rFonts w:ascii="Times New Roman" w:hAnsi="Times New Roman"/>
        </w:rPr>
        <w:t>Bem</w:t>
      </w:r>
      <w:proofErr w:type="spellEnd"/>
      <w:r w:rsidR="00000000">
        <w:rPr>
          <w:rFonts w:ascii="Times New Roman" w:hAnsi="Times New Roman"/>
        </w:rPr>
        <w:t xml:space="preserve"> (1974) constructed scales to measure femininity and masculinity as separate personality </w:t>
      </w:r>
      <w:r>
        <w:rPr>
          <w:rFonts w:ascii="Times New Roman" w:hAnsi="Times New Roman"/>
        </w:rPr>
        <w:t>traits</w:t>
      </w:r>
      <w:r w:rsidR="00000000">
        <w:rPr>
          <w:rFonts w:ascii="Times New Roman" w:hAnsi="Times New Roman"/>
        </w:rPr>
        <w:t xml:space="preserve">. She found that many people had a mixture of feminine and masculine traits. </w:t>
      </w:r>
      <w:r>
        <w:rPr>
          <w:rFonts w:ascii="Times New Roman" w:hAnsi="Times New Roman"/>
        </w:rPr>
        <w:t xml:space="preserve"> In another example, when </w:t>
      </w:r>
      <w:r w:rsidR="00000000">
        <w:rPr>
          <w:rFonts w:ascii="Times New Roman" w:hAnsi="Times New Roman"/>
        </w:rPr>
        <w:t xml:space="preserve">Joel and colleagues (2014) </w:t>
      </w:r>
      <w:r>
        <w:rPr>
          <w:rFonts w:ascii="Times New Roman" w:hAnsi="Times New Roman"/>
        </w:rPr>
        <w:t>asked ostensibly cisgender participants whether they ever experienced shifts in their gender identity, a sizable group had. Lastly,</w:t>
      </w:r>
      <w:r w:rsidR="00000000">
        <w:rPr>
          <w:rFonts w:ascii="Times New Roman" w:hAnsi="Times New Roman"/>
        </w:rPr>
        <w:t xml:space="preserve"> and Westbrook </w:t>
      </w:r>
      <w:r>
        <w:rPr>
          <w:rFonts w:ascii="Times New Roman" w:hAnsi="Times New Roman"/>
        </w:rPr>
        <w:t xml:space="preserve">and </w:t>
      </w:r>
      <w:proofErr w:type="spellStart"/>
      <w:r>
        <w:rPr>
          <w:rFonts w:ascii="Times New Roman" w:hAnsi="Times New Roman"/>
        </w:rPr>
        <w:t>Sperstein</w:t>
      </w:r>
      <w:proofErr w:type="spellEnd"/>
      <w:r>
        <w:rPr>
          <w:rFonts w:ascii="Times New Roman" w:hAnsi="Times New Roman"/>
        </w:rPr>
        <w:t xml:space="preserve"> (2015) showed that there are many potential ways participants answer questions about their gender identities, including rating femininity and masculinity on separate dimensions. When offered these separate sliders, participants generally offered a high degree of androgyny. These results, which primarily regard people’s self-categorization and not categorization of others, nevertheless suggest that when people are given the options to categorize gender beyond the binary, they frequently use them. </w:t>
      </w:r>
    </w:p>
    <w:p w14:paraId="16D007A9" w14:textId="77777777" w:rsidR="001E74B1" w:rsidRDefault="00000000" w:rsidP="001E74B1">
      <w:pPr>
        <w:spacing w:line="360" w:lineRule="auto"/>
        <w:ind w:firstLine="709"/>
        <w:rPr>
          <w:rFonts w:ascii="Times New Roman" w:hAnsi="Times New Roman"/>
        </w:rPr>
      </w:pPr>
      <w:r>
        <w:rPr>
          <w:rFonts w:ascii="Times New Roman" w:hAnsi="Times New Roman"/>
        </w:rPr>
        <w:t xml:space="preserve">Furthermore, gender binaries can be created or enhanced through statistical practices. For example, Hyde and colleagues (2018) concluded that the statistical practice of examining mean differences between women and men exaggerates the difference and downplay gender similarities (Hyde et al., 2005).  Hester and colleagues (2020), showed both that perceived differences between the faces of men and women were pronounced when only means were examined, and when gender was measured as consisting of a single dimension with femininity and masculinity at opposing ends. These studies show that when experiments are constructed to take diversity of gender into account, the results often reveal a diversity of gender. This primarily suggests that studies which only measure binary gender are unnecessarily and artificially restrictive. </w:t>
      </w:r>
    </w:p>
    <w:p w14:paraId="0CD3289D" w14:textId="54490AD9" w:rsidR="001E74B1" w:rsidRDefault="001E74B1" w:rsidP="001E74B1">
      <w:pPr>
        <w:spacing w:line="360" w:lineRule="auto"/>
        <w:ind w:firstLine="709"/>
        <w:rPr>
          <w:rFonts w:ascii="Times New Roman" w:hAnsi="Times New Roman"/>
        </w:rPr>
      </w:pPr>
      <w:r>
        <w:rPr>
          <w:rFonts w:ascii="Times New Roman" w:hAnsi="Times New Roman"/>
        </w:rPr>
        <w:t xml:space="preserve">Let’s think about which categories would be less harmful to non-binary individuals. The inclusion of some sort of third gender option would be preferable, simply to acknowledge the existence of TGD individuals. However, the existence of a third option is not enough. Many TGD individuals argue that the best thing is just for everyone to not abstain from categorizing altogether. We can think of two ways to encourage that. One, is just add the options of choosing a third category and an I don’t know category. The other is to allow participants to categorize using an open text box. </w:t>
      </w:r>
    </w:p>
    <w:p w14:paraId="36C08FCA" w14:textId="145904D0" w:rsidR="001E74B1" w:rsidRDefault="001E74B1" w:rsidP="001E74B1">
      <w:pPr>
        <w:spacing w:line="360" w:lineRule="auto"/>
        <w:rPr>
          <w:rFonts w:ascii="Times New Roman" w:hAnsi="Times New Roman"/>
        </w:rPr>
      </w:pPr>
    </w:p>
    <w:p w14:paraId="361A5D87" w14:textId="2DD9C0BC" w:rsidR="001E74B1" w:rsidRDefault="001E74B1" w:rsidP="001E74B1">
      <w:pPr>
        <w:spacing w:line="360" w:lineRule="auto"/>
        <w:rPr>
          <w:rFonts w:ascii="Times New Roman" w:hAnsi="Times New Roman"/>
        </w:rPr>
      </w:pPr>
      <w:r>
        <w:rPr>
          <w:rFonts w:ascii="Times New Roman" w:hAnsi="Times New Roman"/>
        </w:rPr>
        <w:t>Research question 1: Do people use beyond-binary options when they have them?</w:t>
      </w:r>
    </w:p>
    <w:p w14:paraId="4F4221FB" w14:textId="2D1018DF" w:rsidR="001E74B1" w:rsidRDefault="001E74B1" w:rsidP="001E74B1">
      <w:pPr>
        <w:spacing w:line="360" w:lineRule="auto"/>
        <w:rPr>
          <w:rFonts w:ascii="Times New Roman" w:hAnsi="Times New Roman"/>
        </w:rPr>
      </w:pPr>
      <w:r>
        <w:rPr>
          <w:rFonts w:ascii="Times New Roman" w:hAnsi="Times New Roman"/>
        </w:rPr>
        <w:t>Research question 2: Two what extent do beyond-binary responses affect the distribution of woman/man responses?</w:t>
      </w:r>
    </w:p>
    <w:p w14:paraId="0EF0FF83" w14:textId="4E870C72" w:rsidR="001E74B1" w:rsidRDefault="001E74B1" w:rsidP="001E74B1">
      <w:pPr>
        <w:spacing w:line="360" w:lineRule="auto"/>
        <w:rPr>
          <w:rFonts w:ascii="Times New Roman" w:hAnsi="Times New Roman"/>
        </w:rPr>
      </w:pPr>
    </w:p>
    <w:p w14:paraId="2DF552AC" w14:textId="383F7CB8" w:rsidR="001E74B1" w:rsidRDefault="001E74B1" w:rsidP="001E74B1">
      <w:pPr>
        <w:spacing w:line="360" w:lineRule="auto"/>
        <w:rPr>
          <w:rFonts w:ascii="Times New Roman" w:hAnsi="Times New Roman"/>
          <w:b/>
          <w:bCs/>
        </w:rPr>
      </w:pPr>
      <w:r>
        <w:rPr>
          <w:rFonts w:ascii="Times New Roman" w:hAnsi="Times New Roman"/>
          <w:b/>
          <w:bCs/>
        </w:rPr>
        <w:t>Categorical gender and categorical perception</w:t>
      </w:r>
    </w:p>
    <w:p w14:paraId="76A05EE8" w14:textId="0165CFBD" w:rsidR="001E74B1" w:rsidRDefault="001E74B1" w:rsidP="001E74B1">
      <w:pPr>
        <w:spacing w:line="360" w:lineRule="auto"/>
        <w:rPr>
          <w:rFonts w:ascii="Times New Roman" w:hAnsi="Times New Roman"/>
          <w:b/>
          <w:bCs/>
        </w:rPr>
      </w:pPr>
    </w:p>
    <w:p w14:paraId="39DF370A" w14:textId="56B2E19F" w:rsidR="001E74B1" w:rsidRDefault="001E74B1" w:rsidP="001E74B1">
      <w:pPr>
        <w:spacing w:line="360" w:lineRule="auto"/>
        <w:rPr>
          <w:rFonts w:ascii="Times New Roman" w:hAnsi="Times New Roman"/>
        </w:rPr>
      </w:pPr>
      <w:r>
        <w:rPr>
          <w:rFonts w:ascii="Times New Roman" w:hAnsi="Times New Roman"/>
        </w:rPr>
        <w:t xml:space="preserve">Another question about response options is the extent to which they influence participants view of gender. </w:t>
      </w:r>
      <w:r>
        <w:rPr>
          <w:rFonts w:ascii="Times New Roman" w:hAnsi="Times New Roman"/>
        </w:rPr>
        <w:t>When gender is measured as only the categories “woman” and “man” the implication may be that gender/sex consists of two discrete mutually exclusive categories (ref</w:t>
      </w:r>
      <w:ins w:id="1" w:author="Marie Gustafsson Sendén" w:date="2021-11-24T09:20:00Z">
        <w:r>
          <w:rPr>
            <w:rFonts w:ascii="Times New Roman" w:hAnsi="Times New Roman"/>
          </w:rPr>
          <w:t>)</w:t>
        </w:r>
      </w:ins>
      <w:r>
        <w:rPr>
          <w:rFonts w:ascii="Times New Roman" w:hAnsi="Times New Roman"/>
        </w:rPr>
        <w:t xml:space="preserve">. When gender is measured on a continuum with femininity and masculinity </w:t>
      </w:r>
      <w:ins w:id="2" w:author="Marie Gustafsson Sendén" w:date="2021-11-24T09:21:00Z">
        <w:r>
          <w:rPr>
            <w:rFonts w:ascii="Times New Roman" w:hAnsi="Times New Roman"/>
          </w:rPr>
          <w:t xml:space="preserve">as </w:t>
        </w:r>
      </w:ins>
      <w:r>
        <w:rPr>
          <w:rFonts w:ascii="Times New Roman" w:hAnsi="Times New Roman"/>
        </w:rPr>
        <w:t xml:space="preserve">mutually exclusive polar opposites, it still reproduced femininity and masculinity as opposites, but suggests that degrees are possible. Additionally, there is a certain conceptual ambiguity around the </w:t>
      </w:r>
      <w:proofErr w:type="gramStart"/>
      <w:r>
        <w:rPr>
          <w:rFonts w:ascii="Times New Roman" w:hAnsi="Times New Roman"/>
        </w:rPr>
        <w:t>terms</w:t>
      </w:r>
      <w:proofErr w:type="gramEnd"/>
      <w:r>
        <w:rPr>
          <w:rFonts w:ascii="Times New Roman" w:hAnsi="Times New Roman"/>
        </w:rPr>
        <w:t xml:space="preserve"> femininity and masculinity, where they are conflated with the properties of women and men, even though there is evidence that these terms are applied differently to women and men (Hester et al., 2020</w:t>
      </w:r>
      <w:r>
        <w:rPr>
          <w:rFonts w:ascii="Times New Roman" w:hAnsi="Times New Roman"/>
        </w:rPr>
        <w:t>).</w:t>
      </w:r>
    </w:p>
    <w:p w14:paraId="2786668E" w14:textId="6A192E99" w:rsidR="001E74B1" w:rsidRDefault="001E74B1" w:rsidP="001E74B1">
      <w:pPr>
        <w:spacing w:line="360" w:lineRule="auto"/>
        <w:rPr>
          <w:rFonts w:ascii="Times New Roman" w:hAnsi="Times New Roman"/>
        </w:rPr>
      </w:pPr>
    </w:p>
    <w:p w14:paraId="631D9BB1" w14:textId="4E9C95EE" w:rsidR="001E74B1" w:rsidRDefault="001E74B1" w:rsidP="001E74B1">
      <w:pPr>
        <w:spacing w:line="360" w:lineRule="auto"/>
        <w:rPr>
          <w:rFonts w:ascii="Times New Roman" w:hAnsi="Times New Roman"/>
        </w:rPr>
      </w:pPr>
      <w:r>
        <w:rPr>
          <w:rFonts w:ascii="Times New Roman" w:hAnsi="Times New Roman"/>
        </w:rPr>
        <w:t>One way to consider how response options shape the perception of gender is to look at categorical perception. Categorical perception is a perceptual effect where people tend to accentuate the differences of continuous stimuli. It has been observed for colors and for sounds. The existence of categorical perception suggests that people have a strong sense that categories exist. Importantly, categorical perception has been observed for gendered faces (Campanella et al., 2001). However, if participants respond to gender categorization with options that are less binary, maybe they will exhibit less categorical perception?</w:t>
      </w:r>
    </w:p>
    <w:p w14:paraId="6830994F" w14:textId="2B766157" w:rsidR="001E74B1" w:rsidRDefault="001E74B1" w:rsidP="001E74B1">
      <w:pPr>
        <w:spacing w:line="360" w:lineRule="auto"/>
        <w:rPr>
          <w:rFonts w:ascii="Times New Roman" w:hAnsi="Times New Roman"/>
        </w:rPr>
      </w:pPr>
    </w:p>
    <w:p w14:paraId="778100D2" w14:textId="35FA8484" w:rsidR="001E74B1" w:rsidRPr="001E74B1" w:rsidRDefault="001E74B1" w:rsidP="001E74B1">
      <w:pPr>
        <w:spacing w:line="360" w:lineRule="auto"/>
        <w:rPr>
          <w:rFonts w:ascii="Times New Roman" w:hAnsi="Times New Roman"/>
        </w:rPr>
      </w:pPr>
      <w:r>
        <w:rPr>
          <w:rFonts w:ascii="Times New Roman" w:hAnsi="Times New Roman"/>
        </w:rPr>
        <w:t>Research question 3: Do less binary response options evoke less categorical perception in participants?</w:t>
      </w:r>
    </w:p>
    <w:p w14:paraId="65B6F71D" w14:textId="77777777" w:rsidR="001E74B1" w:rsidRDefault="001E74B1" w:rsidP="001E74B1">
      <w:pPr>
        <w:spacing w:line="360" w:lineRule="auto"/>
        <w:rPr>
          <w:rFonts w:hint="eastAsia"/>
        </w:rPr>
      </w:pPr>
    </w:p>
    <w:p w14:paraId="37330CC5" w14:textId="77777777" w:rsidR="001E74B1" w:rsidRDefault="001E74B1" w:rsidP="001E74B1">
      <w:pPr>
        <w:spacing w:line="360" w:lineRule="auto"/>
        <w:rPr>
          <w:rFonts w:ascii="Times New Roman" w:hAnsi="Times New Roman"/>
          <w:b/>
          <w:bCs/>
        </w:rPr>
      </w:pPr>
      <w:r>
        <w:rPr>
          <w:rFonts w:ascii="Times New Roman" w:hAnsi="Times New Roman"/>
          <w:b/>
          <w:bCs/>
        </w:rPr>
        <w:t>General method</w:t>
      </w:r>
    </w:p>
    <w:p w14:paraId="3C7DB75C" w14:textId="77777777" w:rsidR="001E74B1" w:rsidRDefault="001E74B1" w:rsidP="001E74B1">
      <w:pPr>
        <w:spacing w:line="360" w:lineRule="auto"/>
        <w:rPr>
          <w:rFonts w:ascii="Times New Roman" w:hAnsi="Times New Roman"/>
          <w:b/>
          <w:bCs/>
        </w:rPr>
      </w:pPr>
    </w:p>
    <w:p w14:paraId="3DF01D70" w14:textId="77777777" w:rsidR="001E74B1" w:rsidRDefault="001E74B1" w:rsidP="001E74B1">
      <w:pPr>
        <w:spacing w:line="360" w:lineRule="auto"/>
        <w:rPr>
          <w:rFonts w:ascii="Times New Roman" w:hAnsi="Times New Roman"/>
          <w:i/>
          <w:iCs/>
        </w:rPr>
      </w:pPr>
      <w:r>
        <w:rPr>
          <w:rFonts w:ascii="Times New Roman" w:hAnsi="Times New Roman"/>
          <w:i/>
          <w:iCs/>
        </w:rPr>
        <w:t>Overview</w:t>
      </w:r>
    </w:p>
    <w:p w14:paraId="3FA6236F" w14:textId="5D96F61B" w:rsidR="001E74B1" w:rsidRPr="001E74B1" w:rsidRDefault="001E74B1" w:rsidP="001E74B1">
      <w:pPr>
        <w:spacing w:line="360" w:lineRule="auto"/>
        <w:rPr>
          <w:rFonts w:ascii="Times New Roman" w:hAnsi="Times New Roman"/>
        </w:rPr>
      </w:pPr>
    </w:p>
    <w:p w14:paraId="036C5483" w14:textId="77777777" w:rsidR="001E74B1" w:rsidRDefault="001E74B1" w:rsidP="001E74B1">
      <w:pPr>
        <w:spacing w:line="360" w:lineRule="auto"/>
        <w:rPr>
          <w:rFonts w:ascii="Times New Roman" w:hAnsi="Times New Roman"/>
          <w:i/>
          <w:iCs/>
        </w:rPr>
      </w:pPr>
    </w:p>
    <w:p w14:paraId="63AA39AE" w14:textId="77777777" w:rsidR="001E74B1" w:rsidRDefault="001E74B1" w:rsidP="001E74B1">
      <w:pPr>
        <w:spacing w:line="360" w:lineRule="auto"/>
        <w:rPr>
          <w:rFonts w:ascii="Times New Roman" w:hAnsi="Times New Roman"/>
          <w:i/>
          <w:iCs/>
        </w:rPr>
      </w:pPr>
      <w:r>
        <w:rPr>
          <w:rFonts w:ascii="Times New Roman" w:hAnsi="Times New Roman"/>
          <w:i/>
          <w:iCs/>
        </w:rPr>
        <w:t>Stimuli</w:t>
      </w:r>
    </w:p>
    <w:p w14:paraId="1473B8AE" w14:textId="77777777" w:rsidR="001E74B1" w:rsidRDefault="001E74B1" w:rsidP="001E74B1">
      <w:pPr>
        <w:spacing w:line="360" w:lineRule="auto"/>
        <w:rPr>
          <w:rFonts w:ascii="Times New Roman" w:hAnsi="Times New Roman"/>
        </w:rPr>
      </w:pPr>
      <w:r>
        <w:rPr>
          <w:rFonts w:ascii="Times New Roman" w:hAnsi="Times New Roman"/>
        </w:rPr>
        <w:t>Faces were produced using faces from the London Face Database (</w:t>
      </w:r>
      <w:proofErr w:type="spellStart"/>
      <w:r>
        <w:rPr>
          <w:rFonts w:ascii="Times New Roman" w:hAnsi="Times New Roman"/>
        </w:rPr>
        <w:t>deBruine</w:t>
      </w:r>
      <w:proofErr w:type="spellEnd"/>
      <w:r>
        <w:rPr>
          <w:rFonts w:ascii="Times New Roman" w:hAnsi="Times New Roman"/>
        </w:rPr>
        <w:t xml:space="preserve">) and </w:t>
      </w:r>
      <w:proofErr w:type="gramStart"/>
      <w:r>
        <w:rPr>
          <w:rFonts w:ascii="Times New Roman" w:hAnsi="Times New Roman"/>
        </w:rPr>
        <w:t>the  Chicago</w:t>
      </w:r>
      <w:proofErr w:type="gramEnd"/>
      <w:r>
        <w:rPr>
          <w:rFonts w:ascii="Times New Roman" w:hAnsi="Times New Roman"/>
        </w:rPr>
        <w:t xml:space="preserve"> Face Database (ref) morphed with on </w:t>
      </w:r>
      <w:proofErr w:type="spellStart"/>
      <w:r>
        <w:rPr>
          <w:rFonts w:ascii="Times New Roman" w:hAnsi="Times New Roman"/>
        </w:rPr>
        <w:t>Webmorph</w:t>
      </w:r>
      <w:proofErr w:type="spellEnd"/>
      <w:r>
        <w:rPr>
          <w:rFonts w:ascii="Times New Roman" w:hAnsi="Times New Roman"/>
        </w:rPr>
        <w:t xml:space="preserve"> (ref). For Black, Asian and White faces, the six most feminine faces of women and the six most masculine faces of men were selected, using the codebook provided by the researchers. The faces were matched, so that the most feminine face </w:t>
      </w:r>
      <w:proofErr w:type="gramStart"/>
      <w:r>
        <w:rPr>
          <w:rFonts w:ascii="Times New Roman" w:hAnsi="Times New Roman"/>
        </w:rPr>
        <w:t>were</w:t>
      </w:r>
      <w:proofErr w:type="gramEnd"/>
      <w:r>
        <w:rPr>
          <w:rFonts w:ascii="Times New Roman" w:hAnsi="Times New Roman"/>
        </w:rPr>
        <w:t xml:space="preserve"> morphed with the most masculine face and so on. </w:t>
      </w:r>
    </w:p>
    <w:p w14:paraId="03064D11" w14:textId="77777777" w:rsidR="001E74B1" w:rsidRDefault="001E74B1" w:rsidP="001E74B1">
      <w:pPr>
        <w:spacing w:line="360" w:lineRule="auto"/>
        <w:rPr>
          <w:rFonts w:ascii="Times New Roman" w:hAnsi="Times New Roman"/>
          <w:i/>
          <w:iCs/>
        </w:rPr>
      </w:pPr>
    </w:p>
    <w:p w14:paraId="23C72B17" w14:textId="77777777" w:rsidR="001E74B1" w:rsidRDefault="001E74B1" w:rsidP="001E74B1">
      <w:pPr>
        <w:spacing w:line="360" w:lineRule="auto"/>
        <w:rPr>
          <w:rFonts w:ascii="Times New Roman" w:hAnsi="Times New Roman"/>
          <w:i/>
          <w:iCs/>
        </w:rPr>
      </w:pPr>
      <w:r>
        <w:rPr>
          <w:rFonts w:ascii="Times New Roman" w:hAnsi="Times New Roman"/>
          <w:i/>
          <w:iCs/>
        </w:rPr>
        <w:t>Procedure</w:t>
      </w:r>
    </w:p>
    <w:p w14:paraId="2ACCE7C0" w14:textId="1C8E91B2" w:rsidR="001E74B1" w:rsidRPr="001E74B1" w:rsidRDefault="001E74B1" w:rsidP="001E74B1">
      <w:pPr>
        <w:spacing w:line="360" w:lineRule="auto"/>
        <w:rPr>
          <w:rFonts w:ascii="Times New Roman" w:hAnsi="Times New Roman"/>
        </w:rPr>
      </w:pPr>
      <w:r>
        <w:rPr>
          <w:rFonts w:ascii="Times New Roman" w:hAnsi="Times New Roman"/>
        </w:rPr>
        <w:t xml:space="preserve">Participants carry out the study in the lab. The main design </w:t>
      </w:r>
      <w:proofErr w:type="gramStart"/>
      <w:r>
        <w:rPr>
          <w:rFonts w:ascii="Times New Roman" w:hAnsi="Times New Roman"/>
        </w:rPr>
        <w:t>consist</w:t>
      </w:r>
      <w:proofErr w:type="gramEnd"/>
      <w:r>
        <w:rPr>
          <w:rFonts w:ascii="Times New Roman" w:hAnsi="Times New Roman"/>
        </w:rPr>
        <w:t xml:space="preserve"> of the </w:t>
      </w:r>
    </w:p>
    <w:p w14:paraId="11E38BCA" w14:textId="77777777" w:rsidR="001E74B1" w:rsidRPr="007950F4" w:rsidRDefault="001E74B1" w:rsidP="001E74B1">
      <w:pPr>
        <w:spacing w:line="360" w:lineRule="auto"/>
        <w:rPr>
          <w:rFonts w:ascii="Times New Roman" w:hAnsi="Times New Roman"/>
          <w:b/>
          <w:bCs/>
        </w:rPr>
      </w:pPr>
      <w:r>
        <w:rPr>
          <w:rFonts w:ascii="Times New Roman" w:hAnsi="Times New Roman"/>
          <w:b/>
          <w:bCs/>
        </w:rPr>
        <w:lastRenderedPageBreak/>
        <w:t>Experiment 1</w:t>
      </w:r>
    </w:p>
    <w:p w14:paraId="61769275" w14:textId="77777777" w:rsidR="001E74B1" w:rsidRPr="007950F4" w:rsidRDefault="001E74B1" w:rsidP="001E74B1">
      <w:pPr>
        <w:spacing w:line="360" w:lineRule="auto"/>
        <w:rPr>
          <w:rFonts w:ascii="Times New Roman" w:hAnsi="Times New Roman"/>
          <w:b/>
          <w:bCs/>
          <w:i/>
          <w:iCs/>
        </w:rPr>
      </w:pPr>
    </w:p>
    <w:p w14:paraId="1CDD76AF" w14:textId="77777777" w:rsidR="001E74B1" w:rsidRDefault="001E74B1" w:rsidP="001E74B1">
      <w:pPr>
        <w:spacing w:line="360" w:lineRule="auto"/>
        <w:rPr>
          <w:rFonts w:hint="eastAsia"/>
        </w:rPr>
      </w:pPr>
      <w:r>
        <w:rPr>
          <w:rFonts w:ascii="Times New Roman" w:hAnsi="Times New Roman"/>
          <w:i/>
          <w:iCs/>
        </w:rPr>
        <w:t>Participants</w:t>
      </w:r>
      <w:r>
        <w:rPr>
          <w:i/>
          <w:iCs/>
        </w:rPr>
        <w:t xml:space="preserve"> &amp; design</w:t>
      </w:r>
    </w:p>
    <w:p w14:paraId="771EEBCA" w14:textId="1713205E" w:rsidR="001E74B1" w:rsidRDefault="001E74B1" w:rsidP="001E74B1">
      <w:pPr>
        <w:spacing w:line="360" w:lineRule="auto"/>
        <w:rPr>
          <w:rFonts w:hint="eastAsia"/>
        </w:rPr>
      </w:pPr>
      <w:r>
        <w:rPr>
          <w:rFonts w:ascii="Times New Roman" w:hAnsi="Times New Roman"/>
        </w:rPr>
        <w:t>Participants (n = 1</w:t>
      </w:r>
      <w:r>
        <w:rPr>
          <w:rFonts w:ascii="Times New Roman" w:hAnsi="Times New Roman"/>
        </w:rPr>
        <w:t>09</w:t>
      </w:r>
      <w:proofErr w:type="gramStart"/>
      <w:r>
        <w:rPr>
          <w:rFonts w:ascii="Times New Roman" w:hAnsi="Times New Roman"/>
        </w:rPr>
        <w:t>)  were</w:t>
      </w:r>
      <w:proofErr w:type="gramEnd"/>
      <w:r>
        <w:rPr>
          <w:rFonts w:ascii="Times New Roman" w:hAnsi="Times New Roman"/>
        </w:rPr>
        <w:t xml:space="preserve"> speakers recruited through advertising online and on the university campus (</w:t>
      </w:r>
      <w:r>
        <w:rPr>
          <w:rFonts w:ascii="Times New Roman" w:hAnsi="Times New Roman"/>
          <w:i/>
          <w:iCs/>
        </w:rPr>
        <w:t>M</w:t>
      </w:r>
      <w:r>
        <w:rPr>
          <w:rFonts w:ascii="Times New Roman" w:hAnsi="Times New Roman"/>
          <w:vertAlign w:val="subscript"/>
        </w:rPr>
        <w:t>age</w:t>
      </w:r>
      <w:r>
        <w:rPr>
          <w:rFonts w:ascii="Times New Roman" w:hAnsi="Times New Roman"/>
        </w:rPr>
        <w:t xml:space="preserve">= 36.67,  </w:t>
      </w:r>
      <w:proofErr w:type="spellStart"/>
      <w:r>
        <w:rPr>
          <w:rFonts w:ascii="Times New Roman" w:hAnsi="Times New Roman"/>
          <w:i/>
          <w:iCs/>
        </w:rPr>
        <w:t>SD</w:t>
      </w:r>
      <w:r>
        <w:rPr>
          <w:rFonts w:ascii="Times New Roman" w:hAnsi="Times New Roman"/>
          <w:vertAlign w:val="subscript"/>
        </w:rPr>
        <w:t>age</w:t>
      </w:r>
      <w:proofErr w:type="spellEnd"/>
      <w:r>
        <w:rPr>
          <w:rFonts w:ascii="Times New Roman" w:hAnsi="Times New Roman"/>
          <w:vertAlign w:val="subscript"/>
        </w:rPr>
        <w:t xml:space="preserve"> </w:t>
      </w:r>
      <w:r>
        <w:rPr>
          <w:rFonts w:ascii="Times New Roman" w:hAnsi="Times New Roman"/>
        </w:rPr>
        <w:t xml:space="preserve">= 12.54).All participants were informed that participation was voluntary. In term of gender X women and Y men participated </w:t>
      </w:r>
      <w:proofErr w:type="gramStart"/>
      <w:r>
        <w:rPr>
          <w:rFonts w:ascii="Times New Roman" w:hAnsi="Times New Roman"/>
        </w:rPr>
        <w:t>The</w:t>
      </w:r>
      <w:proofErr w:type="gramEnd"/>
      <w:r>
        <w:rPr>
          <w:rFonts w:ascii="Times New Roman" w:hAnsi="Times New Roman"/>
        </w:rPr>
        <w:t xml:space="preserve"> participants were randomly allocated to conditions.</w:t>
      </w:r>
    </w:p>
    <w:p w14:paraId="7848AAE0" w14:textId="77777777" w:rsidR="001E74B1" w:rsidRDefault="001E74B1" w:rsidP="001E74B1">
      <w:pPr>
        <w:spacing w:line="360" w:lineRule="auto"/>
        <w:rPr>
          <w:rFonts w:ascii="Times New Roman" w:hAnsi="Times New Roman"/>
        </w:rPr>
      </w:pPr>
    </w:p>
    <w:p w14:paraId="16D05561" w14:textId="77777777" w:rsidR="001E74B1" w:rsidRDefault="001E74B1" w:rsidP="001E74B1">
      <w:pPr>
        <w:spacing w:line="360" w:lineRule="auto"/>
        <w:rPr>
          <w:rFonts w:ascii="Times New Roman" w:hAnsi="Times New Roman"/>
          <w:i/>
          <w:iCs/>
        </w:rPr>
      </w:pPr>
      <w:r>
        <w:rPr>
          <w:rFonts w:ascii="Times New Roman" w:hAnsi="Times New Roman"/>
          <w:i/>
          <w:iCs/>
        </w:rPr>
        <w:t>Design</w:t>
      </w:r>
    </w:p>
    <w:p w14:paraId="51682368" w14:textId="77777777" w:rsidR="001E74B1" w:rsidRDefault="001E74B1" w:rsidP="001E74B1">
      <w:pPr>
        <w:spacing w:line="360" w:lineRule="auto"/>
        <w:rPr>
          <w:rFonts w:ascii="Times New Roman" w:hAnsi="Times New Roman"/>
        </w:rPr>
      </w:pPr>
    </w:p>
    <w:p w14:paraId="23233D53" w14:textId="77777777" w:rsidR="001E74B1" w:rsidRDefault="001E74B1" w:rsidP="001E74B1">
      <w:pPr>
        <w:pStyle w:val="BodyText"/>
        <w:spacing w:after="0" w:line="360" w:lineRule="auto"/>
        <w:rPr>
          <w:rFonts w:hint="eastAsia"/>
        </w:rPr>
      </w:pPr>
      <w:r>
        <w:rPr>
          <w:color w:val="000000"/>
        </w:rPr>
        <w:t>The main manipulated variable will be the scale used to measure for gender categorization/rating of faces. The following response options will be used (with a justification given for each).</w:t>
      </w:r>
    </w:p>
    <w:p w14:paraId="19F46C40" w14:textId="77777777" w:rsidR="001E74B1" w:rsidRDefault="001E74B1" w:rsidP="001E74B1">
      <w:pPr>
        <w:pStyle w:val="BodyText"/>
        <w:spacing w:after="0" w:line="360" w:lineRule="auto"/>
        <w:rPr>
          <w:rFonts w:hint="eastAsia"/>
        </w:rPr>
      </w:pPr>
      <w:r>
        <w:rPr>
          <w:color w:val="000000"/>
        </w:rPr>
        <w:t>- Woman/Man. These are the typical response options when measuring gender categorization</w:t>
      </w:r>
    </w:p>
    <w:p w14:paraId="50E99795" w14:textId="77777777" w:rsidR="001E74B1" w:rsidRDefault="001E74B1" w:rsidP="001E74B1">
      <w:pPr>
        <w:pStyle w:val="BodyText"/>
        <w:spacing w:after="0" w:line="360" w:lineRule="auto"/>
        <w:rPr>
          <w:rFonts w:hint="eastAsia"/>
          <w:color w:val="000000"/>
        </w:rPr>
      </w:pPr>
      <w:proofErr w:type="gramStart"/>
      <w:r>
        <w:rPr>
          <w:color w:val="000000"/>
        </w:rPr>
        <w:t>-“</w:t>
      </w:r>
      <w:proofErr w:type="gramEnd"/>
      <w:r>
        <w:rPr>
          <w:color w:val="000000"/>
        </w:rPr>
        <w:t xml:space="preserve">Woman – man” on the same sliding scale. </w:t>
      </w:r>
    </w:p>
    <w:p w14:paraId="2C692225" w14:textId="77777777" w:rsidR="001E74B1" w:rsidRDefault="001E74B1" w:rsidP="001E74B1">
      <w:pPr>
        <w:pStyle w:val="BodyText"/>
        <w:spacing w:after="0" w:line="360" w:lineRule="auto"/>
        <w:rPr>
          <w:rFonts w:hint="eastAsia"/>
        </w:rPr>
      </w:pPr>
      <w:r>
        <w:rPr>
          <w:color w:val="000000"/>
        </w:rPr>
        <w:t>- Femininity and masculinity on separate scales.</w:t>
      </w:r>
    </w:p>
    <w:p w14:paraId="584FB850" w14:textId="77777777" w:rsidR="001E74B1" w:rsidRDefault="001E74B1" w:rsidP="001E74B1">
      <w:pPr>
        <w:pStyle w:val="BodyText"/>
        <w:spacing w:after="0" w:line="360" w:lineRule="auto"/>
        <w:rPr>
          <w:rFonts w:hint="eastAsia"/>
        </w:rPr>
      </w:pPr>
      <w:r>
        <w:rPr>
          <w:color w:val="000000"/>
        </w:rPr>
        <w:t xml:space="preserve">- Woman/Man/Other/I don’t know </w:t>
      </w:r>
    </w:p>
    <w:p w14:paraId="055EAADC" w14:textId="77777777" w:rsidR="001E74B1" w:rsidRDefault="001E74B1" w:rsidP="001E74B1">
      <w:pPr>
        <w:pStyle w:val="BodyText"/>
        <w:spacing w:after="0" w:line="360" w:lineRule="auto"/>
        <w:rPr>
          <w:rFonts w:ascii="Times New Roman" w:hAnsi="Times New Roman"/>
          <w:color w:val="000000"/>
        </w:rPr>
      </w:pPr>
      <w:r>
        <w:rPr>
          <w:rFonts w:ascii="Times New Roman" w:hAnsi="Times New Roman"/>
          <w:color w:val="000000"/>
        </w:rPr>
        <w:t>- Free text response</w:t>
      </w:r>
    </w:p>
    <w:p w14:paraId="1BCD6C93" w14:textId="77777777" w:rsidR="001E74B1" w:rsidRDefault="001E74B1" w:rsidP="001E74B1">
      <w:pPr>
        <w:spacing w:line="360" w:lineRule="auto"/>
        <w:rPr>
          <w:rFonts w:ascii="Times New Roman" w:hAnsi="Times New Roman"/>
          <w:i/>
          <w:iCs/>
        </w:rPr>
      </w:pPr>
    </w:p>
    <w:p w14:paraId="32CB1526" w14:textId="77777777" w:rsidR="001E74B1" w:rsidRDefault="001E74B1" w:rsidP="001E74B1">
      <w:pPr>
        <w:spacing w:line="360" w:lineRule="auto"/>
        <w:rPr>
          <w:rFonts w:ascii="Times New Roman" w:hAnsi="Times New Roman"/>
          <w:i/>
          <w:iCs/>
        </w:rPr>
      </w:pPr>
      <w:r>
        <w:rPr>
          <w:rFonts w:ascii="Times New Roman" w:hAnsi="Times New Roman"/>
          <w:i/>
          <w:iCs/>
        </w:rPr>
        <w:t xml:space="preserve">Data analysis </w:t>
      </w:r>
    </w:p>
    <w:p w14:paraId="33F7332A" w14:textId="77777777" w:rsidR="001E74B1" w:rsidRPr="007950F4" w:rsidRDefault="001E74B1" w:rsidP="001E74B1">
      <w:pPr>
        <w:spacing w:line="360" w:lineRule="auto"/>
        <w:rPr>
          <w:rFonts w:ascii="Times New Roman" w:hAnsi="Times New Roman"/>
          <w:i/>
          <w:iCs/>
        </w:rPr>
      </w:pPr>
    </w:p>
    <w:p w14:paraId="2D729C5D" w14:textId="77777777" w:rsidR="001E74B1" w:rsidRDefault="001E74B1" w:rsidP="001E74B1">
      <w:pPr>
        <w:spacing w:line="360" w:lineRule="auto"/>
        <w:rPr>
          <w:rFonts w:ascii="Times New Roman" w:hAnsi="Times New Roman"/>
          <w:b/>
          <w:bCs/>
        </w:rPr>
      </w:pPr>
      <w:r>
        <w:rPr>
          <w:rFonts w:ascii="Times New Roman" w:hAnsi="Times New Roman"/>
          <w:b/>
          <w:bCs/>
        </w:rPr>
        <w:t>Results</w:t>
      </w:r>
    </w:p>
    <w:p w14:paraId="20E567EA" w14:textId="77777777" w:rsidR="001E74B1" w:rsidRDefault="001E74B1" w:rsidP="001E74B1">
      <w:pPr>
        <w:spacing w:line="360" w:lineRule="auto"/>
        <w:rPr>
          <w:rFonts w:hint="eastAsia"/>
        </w:rPr>
      </w:pPr>
      <w:r>
        <w:t xml:space="preserve">The distribution of results of categorizations are presented in figure 1. Although there were slight differences in </w:t>
      </w:r>
    </w:p>
    <w:p w14:paraId="1BD04477" w14:textId="77777777" w:rsidR="001E74B1" w:rsidRDefault="001E74B1" w:rsidP="001E74B1">
      <w:pPr>
        <w:spacing w:line="360" w:lineRule="auto"/>
        <w:rPr>
          <w:rFonts w:ascii="Times New Roman" w:hAnsi="Times New Roman"/>
          <w:b/>
          <w:bCs/>
        </w:rPr>
      </w:pPr>
    </w:p>
    <w:p w14:paraId="1FDF5582" w14:textId="77777777" w:rsidR="001E74B1" w:rsidRDefault="001E74B1" w:rsidP="001E74B1">
      <w:pPr>
        <w:spacing w:line="360" w:lineRule="auto"/>
        <w:rPr>
          <w:rFonts w:ascii="Times New Roman" w:hAnsi="Times New Roman"/>
        </w:rPr>
      </w:pPr>
      <w:r>
        <w:rPr>
          <w:rFonts w:ascii="Times New Roman" w:hAnsi="Times New Roman"/>
        </w:rPr>
        <w:t>How many made beyond-binary categorizations in the FT &amp; MC conditions?</w:t>
      </w:r>
    </w:p>
    <w:p w14:paraId="55E0329E" w14:textId="77777777" w:rsidR="001E74B1" w:rsidRDefault="001E74B1" w:rsidP="001E74B1">
      <w:pPr>
        <w:spacing w:line="360" w:lineRule="auto"/>
        <w:rPr>
          <w:rFonts w:ascii="Times New Roman" w:hAnsi="Times New Roman"/>
        </w:rPr>
      </w:pPr>
      <w:r>
        <w:rPr>
          <w:rFonts w:ascii="Times New Roman" w:hAnsi="Times New Roman"/>
          <w:noProof/>
        </w:rPr>
        <w:drawing>
          <wp:anchor distT="0" distB="0" distL="0" distR="0" simplePos="0" relativeHeight="251660288" behindDoc="0" locked="0" layoutInCell="0" allowOverlap="1" wp14:anchorId="7F88EDD8" wp14:editId="43197A72">
            <wp:simplePos x="0" y="0"/>
            <wp:positionH relativeFrom="column">
              <wp:posOffset>386080</wp:posOffset>
            </wp:positionH>
            <wp:positionV relativeFrom="paragraph">
              <wp:posOffset>84455</wp:posOffset>
            </wp:positionV>
            <wp:extent cx="2679065" cy="1617345"/>
            <wp:effectExtent l="0" t="0" r="0" b="0"/>
            <wp:wrapTopAndBottom/>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7"/>
                    <a:stretch>
                      <a:fillRect/>
                    </a:stretch>
                  </pic:blipFill>
                  <pic:spPr bwMode="auto">
                    <a:xfrm>
                      <a:off x="0" y="0"/>
                      <a:ext cx="2679065" cy="1617345"/>
                    </a:xfrm>
                    <a:prstGeom prst="rect">
                      <a:avLst/>
                    </a:prstGeom>
                  </pic:spPr>
                </pic:pic>
              </a:graphicData>
            </a:graphic>
          </wp:anchor>
        </w:drawing>
      </w:r>
      <w:r>
        <w:rPr>
          <w:rFonts w:ascii="Times New Roman" w:hAnsi="Times New Roman"/>
          <w:noProof/>
        </w:rPr>
        <w:drawing>
          <wp:anchor distT="0" distB="0" distL="0" distR="0" simplePos="0" relativeHeight="251663360" behindDoc="0" locked="0" layoutInCell="0" allowOverlap="1" wp14:anchorId="437B2E5F" wp14:editId="67AECCE0">
            <wp:simplePos x="0" y="0"/>
            <wp:positionH relativeFrom="column">
              <wp:posOffset>3523615</wp:posOffset>
            </wp:positionH>
            <wp:positionV relativeFrom="paragraph">
              <wp:posOffset>175260</wp:posOffset>
            </wp:positionV>
            <wp:extent cx="2523490" cy="1503680"/>
            <wp:effectExtent l="0" t="0" r="0" b="0"/>
            <wp:wrapTopAndBottom/>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8"/>
                    <a:stretch>
                      <a:fillRect/>
                    </a:stretch>
                  </pic:blipFill>
                  <pic:spPr bwMode="auto">
                    <a:xfrm>
                      <a:off x="0" y="0"/>
                      <a:ext cx="2523490" cy="1503680"/>
                    </a:xfrm>
                    <a:prstGeom prst="rect">
                      <a:avLst/>
                    </a:prstGeom>
                  </pic:spPr>
                </pic:pic>
              </a:graphicData>
            </a:graphic>
          </wp:anchor>
        </w:drawing>
      </w:r>
    </w:p>
    <w:p w14:paraId="1502C1CD" w14:textId="77777777" w:rsidR="001E74B1" w:rsidRDefault="001E74B1" w:rsidP="001E74B1">
      <w:pPr>
        <w:spacing w:line="360" w:lineRule="auto"/>
        <w:rPr>
          <w:rFonts w:ascii="Times New Roman" w:hAnsi="Times New Roman"/>
        </w:rPr>
      </w:pPr>
    </w:p>
    <w:p w14:paraId="25D18641" w14:textId="77777777" w:rsidR="001E74B1" w:rsidRDefault="001E74B1" w:rsidP="001E74B1">
      <w:pPr>
        <w:spacing w:line="360" w:lineRule="auto"/>
        <w:rPr>
          <w:rFonts w:ascii="Times New Roman" w:hAnsi="Times New Roman"/>
          <w:b/>
          <w:bCs/>
        </w:rPr>
      </w:pPr>
      <w:r>
        <w:rPr>
          <w:rFonts w:ascii="Times New Roman" w:hAnsi="Times New Roman"/>
          <w:b/>
          <w:bCs/>
          <w:noProof/>
        </w:rPr>
        <w:lastRenderedPageBreak/>
        <w:drawing>
          <wp:anchor distT="0" distB="0" distL="0" distR="0" simplePos="0" relativeHeight="251659264" behindDoc="0" locked="0" layoutInCell="0" allowOverlap="1" wp14:anchorId="37F68976" wp14:editId="080456C7">
            <wp:simplePos x="0" y="0"/>
            <wp:positionH relativeFrom="column">
              <wp:posOffset>939165</wp:posOffset>
            </wp:positionH>
            <wp:positionV relativeFrom="paragraph">
              <wp:posOffset>77470</wp:posOffset>
            </wp:positionV>
            <wp:extent cx="3670935" cy="207137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3670935" cy="2071370"/>
                    </a:xfrm>
                    <a:prstGeom prst="rect">
                      <a:avLst/>
                    </a:prstGeom>
                  </pic:spPr>
                </pic:pic>
              </a:graphicData>
            </a:graphic>
          </wp:anchor>
        </w:drawing>
      </w:r>
      <w:r>
        <w:rPr>
          <w:rFonts w:ascii="Times New Roman" w:hAnsi="Times New Roman"/>
          <w:b/>
          <w:bCs/>
          <w:noProof/>
        </w:rPr>
        <w:drawing>
          <wp:anchor distT="0" distB="0" distL="0" distR="0" simplePos="0" relativeHeight="251662336" behindDoc="0" locked="0" layoutInCell="0" allowOverlap="1" wp14:anchorId="2981BAC7" wp14:editId="70E73DC1">
            <wp:simplePos x="0" y="0"/>
            <wp:positionH relativeFrom="column">
              <wp:posOffset>-201295</wp:posOffset>
            </wp:positionH>
            <wp:positionV relativeFrom="paragraph">
              <wp:posOffset>2273300</wp:posOffset>
            </wp:positionV>
            <wp:extent cx="3221355" cy="2272665"/>
            <wp:effectExtent l="0" t="0" r="0" b="0"/>
            <wp:wrapTopAndBottom/>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0"/>
                    <a:stretch>
                      <a:fillRect/>
                    </a:stretch>
                  </pic:blipFill>
                  <pic:spPr bwMode="auto">
                    <a:xfrm>
                      <a:off x="0" y="0"/>
                      <a:ext cx="3221355" cy="2272665"/>
                    </a:xfrm>
                    <a:prstGeom prst="rect">
                      <a:avLst/>
                    </a:prstGeom>
                  </pic:spPr>
                </pic:pic>
              </a:graphicData>
            </a:graphic>
          </wp:anchor>
        </w:drawing>
      </w:r>
      <w:r>
        <w:rPr>
          <w:rFonts w:ascii="Times New Roman" w:hAnsi="Times New Roman"/>
          <w:b/>
          <w:bCs/>
          <w:noProof/>
        </w:rPr>
        <w:drawing>
          <wp:anchor distT="0" distB="0" distL="0" distR="0" simplePos="0" relativeHeight="251661312" behindDoc="0" locked="0" layoutInCell="0" allowOverlap="1" wp14:anchorId="723910AB" wp14:editId="12415E32">
            <wp:simplePos x="0" y="0"/>
            <wp:positionH relativeFrom="column">
              <wp:posOffset>3594100</wp:posOffset>
            </wp:positionH>
            <wp:positionV relativeFrom="paragraph">
              <wp:posOffset>2428240</wp:posOffset>
            </wp:positionV>
            <wp:extent cx="3197860" cy="21939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3197860" cy="2193925"/>
                    </a:xfrm>
                    <a:prstGeom prst="rect">
                      <a:avLst/>
                    </a:prstGeom>
                  </pic:spPr>
                </pic:pic>
              </a:graphicData>
            </a:graphic>
          </wp:anchor>
        </w:drawing>
      </w:r>
    </w:p>
    <w:p w14:paraId="7218289A" w14:textId="77777777" w:rsidR="001E74B1" w:rsidRDefault="001E74B1" w:rsidP="001E74B1">
      <w:pPr>
        <w:spacing w:line="360" w:lineRule="auto"/>
        <w:rPr>
          <w:rFonts w:ascii="Times New Roman" w:hAnsi="Times New Roman"/>
          <w:b/>
          <w:bCs/>
        </w:rPr>
      </w:pPr>
      <w:r>
        <w:rPr>
          <w:rFonts w:ascii="Times New Roman" w:hAnsi="Times New Roman"/>
          <w:b/>
          <w:bCs/>
        </w:rPr>
        <w:t>Discussion</w:t>
      </w:r>
    </w:p>
    <w:p w14:paraId="23DA969B" w14:textId="77777777" w:rsidR="001E74B1" w:rsidRDefault="001E74B1" w:rsidP="001E74B1">
      <w:pPr>
        <w:spacing w:line="360" w:lineRule="auto"/>
        <w:rPr>
          <w:rFonts w:ascii="Times New Roman" w:hAnsi="Times New Roman"/>
        </w:rPr>
      </w:pPr>
    </w:p>
    <w:p w14:paraId="13D07920" w14:textId="77777777" w:rsidR="001E74B1" w:rsidRDefault="001E74B1" w:rsidP="001E74B1">
      <w:pPr>
        <w:spacing w:line="360" w:lineRule="auto"/>
        <w:rPr>
          <w:rFonts w:ascii="Times New Roman" w:hAnsi="Times New Roman"/>
        </w:rPr>
      </w:pPr>
      <w:r>
        <w:rPr>
          <w:rFonts w:ascii="Times New Roman" w:hAnsi="Times New Roman"/>
        </w:rPr>
        <w:t>A few takeaways from the results:</w:t>
      </w:r>
    </w:p>
    <w:p w14:paraId="3FC378AC" w14:textId="77777777" w:rsidR="001E74B1" w:rsidRDefault="001E74B1" w:rsidP="001E74B1">
      <w:pPr>
        <w:spacing w:line="360" w:lineRule="auto"/>
        <w:rPr>
          <w:rFonts w:ascii="Times New Roman" w:hAnsi="Times New Roman"/>
        </w:rPr>
      </w:pPr>
      <w:r>
        <w:rPr>
          <w:rFonts w:ascii="Times New Roman" w:hAnsi="Times New Roman"/>
        </w:rPr>
        <w:t>- There was evidence for categorial perception in all conditions.</w:t>
      </w:r>
    </w:p>
    <w:p w14:paraId="48F9333A" w14:textId="77777777" w:rsidR="001E74B1" w:rsidRDefault="001E74B1" w:rsidP="001E74B1">
      <w:pPr>
        <w:spacing w:line="360" w:lineRule="auto"/>
        <w:rPr>
          <w:rFonts w:ascii="Times New Roman" w:hAnsi="Times New Roman"/>
        </w:rPr>
      </w:pPr>
      <w:r>
        <w:rPr>
          <w:rFonts w:ascii="Times New Roman" w:hAnsi="Times New Roman"/>
        </w:rPr>
        <w:t>- More participants made beyond-binary categorizations in the mc condition than the FT condition</w:t>
      </w:r>
    </w:p>
    <w:p w14:paraId="1B2F229F" w14:textId="77777777" w:rsidR="001E74B1" w:rsidRDefault="001E74B1" w:rsidP="001E74B1">
      <w:pPr>
        <w:spacing w:line="360" w:lineRule="auto"/>
        <w:rPr>
          <w:rFonts w:ascii="Times New Roman" w:hAnsi="Times New Roman"/>
        </w:rPr>
      </w:pPr>
      <w:r>
        <w:rPr>
          <w:rFonts w:ascii="Times New Roman" w:hAnsi="Times New Roman"/>
        </w:rPr>
        <w:t>- The pattern of results in the SD and MD were fairly similar and the curves for woman and men were mirrors of each other</w:t>
      </w:r>
    </w:p>
    <w:p w14:paraId="7A4FEC79" w14:textId="77777777" w:rsidR="001E74B1" w:rsidRDefault="001E74B1" w:rsidP="001E74B1">
      <w:pPr>
        <w:spacing w:line="360" w:lineRule="auto"/>
        <w:rPr>
          <w:rFonts w:ascii="Times New Roman" w:hAnsi="Times New Roman"/>
        </w:rPr>
      </w:pPr>
      <w:r>
        <w:rPr>
          <w:rFonts w:ascii="Times New Roman" w:hAnsi="Times New Roman"/>
        </w:rPr>
        <w:t xml:space="preserve">- </w:t>
      </w:r>
      <w:proofErr w:type="gramStart"/>
      <w:r>
        <w:rPr>
          <w:rFonts w:ascii="Times New Roman" w:hAnsi="Times New Roman"/>
        </w:rPr>
        <w:t>overall</w:t>
      </w:r>
      <w:proofErr w:type="gramEnd"/>
      <w:r>
        <w:rPr>
          <w:rFonts w:ascii="Times New Roman" w:hAnsi="Times New Roman"/>
        </w:rPr>
        <w:t xml:space="preserve"> the binary bias is fairly strong</w:t>
      </w:r>
    </w:p>
    <w:p w14:paraId="672FDF6E" w14:textId="77777777" w:rsidR="001E74B1" w:rsidRDefault="001E74B1" w:rsidP="001E74B1">
      <w:pPr>
        <w:spacing w:line="360" w:lineRule="auto"/>
        <w:rPr>
          <w:rFonts w:ascii="Times New Roman" w:hAnsi="Times New Roman"/>
        </w:rPr>
      </w:pPr>
      <w:r>
        <w:rPr>
          <w:rFonts w:ascii="Times New Roman" w:hAnsi="Times New Roman"/>
        </w:rPr>
        <w:t xml:space="preserve">- There was a pretty clear pattern of categorical perception in all </w:t>
      </w:r>
    </w:p>
    <w:p w14:paraId="329B7A5E" w14:textId="77777777" w:rsidR="001E74B1" w:rsidRDefault="001E74B1" w:rsidP="001E74B1">
      <w:pPr>
        <w:spacing w:line="360" w:lineRule="auto"/>
        <w:rPr>
          <w:rFonts w:ascii="Times New Roman" w:hAnsi="Times New Roman"/>
        </w:rPr>
      </w:pPr>
      <w:r>
        <w:rPr>
          <w:rFonts w:ascii="Times New Roman" w:hAnsi="Times New Roman"/>
        </w:rPr>
        <w:t>- We still recommend using more inclusive scales, such as allowing for multiple categories</w:t>
      </w:r>
    </w:p>
    <w:p w14:paraId="11B24836" w14:textId="77777777" w:rsidR="001E74B1" w:rsidRDefault="001E74B1" w:rsidP="001E74B1">
      <w:pPr>
        <w:spacing w:line="360" w:lineRule="auto"/>
        <w:rPr>
          <w:rFonts w:ascii="Times New Roman" w:hAnsi="Times New Roman"/>
        </w:rPr>
      </w:pPr>
    </w:p>
    <w:p w14:paraId="266B4B3C" w14:textId="77777777" w:rsidR="001E74B1" w:rsidRDefault="001E74B1" w:rsidP="001E74B1">
      <w:pPr>
        <w:spacing w:line="360" w:lineRule="auto"/>
        <w:rPr>
          <w:rFonts w:ascii="Times New Roman" w:hAnsi="Times New Roman"/>
        </w:rPr>
      </w:pPr>
    </w:p>
    <w:sectPr w:rsidR="001E74B1">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9491E" w14:textId="77777777" w:rsidR="00D611D8" w:rsidRDefault="00D611D8" w:rsidP="001E74B1">
      <w:pPr>
        <w:rPr>
          <w:rFonts w:hint="eastAsia"/>
        </w:rPr>
      </w:pPr>
      <w:r>
        <w:separator/>
      </w:r>
    </w:p>
  </w:endnote>
  <w:endnote w:type="continuationSeparator" w:id="0">
    <w:p w14:paraId="2A5E1319" w14:textId="77777777" w:rsidR="00D611D8" w:rsidRDefault="00D611D8" w:rsidP="001E74B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swiss"/>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F1AD5" w14:textId="77777777" w:rsidR="00D611D8" w:rsidRDefault="00D611D8" w:rsidP="001E74B1">
      <w:pPr>
        <w:rPr>
          <w:rFonts w:hint="eastAsia"/>
        </w:rPr>
      </w:pPr>
      <w:r>
        <w:separator/>
      </w:r>
    </w:p>
  </w:footnote>
  <w:footnote w:type="continuationSeparator" w:id="0">
    <w:p w14:paraId="0208C83E" w14:textId="77777777" w:rsidR="00D611D8" w:rsidRDefault="00D611D8" w:rsidP="001E74B1">
      <w:pPr>
        <w:rPr>
          <w:rFonts w:hint="eastAsia"/>
        </w:rPr>
      </w:pPr>
      <w:r>
        <w:continuationSeparator/>
      </w:r>
    </w:p>
  </w:footnote>
  <w:footnote w:id="1">
    <w:p w14:paraId="4D4345DB" w14:textId="5A3EDEFD" w:rsidR="001E74B1" w:rsidRPr="001E74B1" w:rsidRDefault="001E74B1">
      <w:pPr>
        <w:pStyle w:val="FootnoteText"/>
      </w:pPr>
      <w:r>
        <w:rPr>
          <w:rStyle w:val="FootnoteReference"/>
          <w:rFonts w:hint="eastAsia"/>
        </w:rPr>
        <w:footnoteRef/>
      </w:r>
      <w:r>
        <w:rPr>
          <w:rFonts w:hint="eastAsia"/>
        </w:rPr>
        <w:t xml:space="preserve"> </w:t>
      </w:r>
      <w:r w:rsidRPr="001E74B1">
        <w:t xml:space="preserve">We use the term sex/gender throughout to </w:t>
      </w:r>
      <w:r>
        <w:t>avoid the implication that v</w:t>
      </w:r>
      <w:r>
        <w:t xml:space="preserve"> </w:t>
      </w:r>
      <w:proofErr w:type="gramStart"/>
      <w:r>
        <w:t>avoid</w:t>
      </w:r>
      <w:proofErr w:type="gramEnd"/>
      <w:r>
        <w:t xml:space="preserve"> the implication that sex is something “real” and gender is a “mere” social construct, we use the term sex/gender</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e Gustafsson Sendén">
    <w15:presenceInfo w15:providerId="None" w15:userId="Marie Gustafsson Sendé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CAE"/>
    <w:rsid w:val="001E74B1"/>
    <w:rsid w:val="003E3CAE"/>
    <w:rsid w:val="007950F4"/>
    <w:rsid w:val="00D611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183530B"/>
  <w15:docId w15:val="{386A7C5A-DB27-FC49-B1C6-03AD6F33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paragraph" w:styleId="Heading3">
    <w:name w:val="heading 3"/>
    <w:basedOn w:val="Heading"/>
    <w:next w:val="BodyText"/>
    <w:uiPriority w:val="9"/>
    <w:semiHidden/>
    <w:unhideWhenUsed/>
    <w:qFormat/>
    <w:pPr>
      <w:spacing w:before="140"/>
      <w:outlineLvl w:val="2"/>
    </w:pPr>
    <w:rPr>
      <w:rFonts w:ascii="Liberation Serif" w:eastAsia="Songti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Numbering">
    <w:name w:val="Line Numbering"/>
  </w:style>
  <w:style w:type="character" w:customStyle="1" w:styleId="KommentarerChar">
    <w:name w:val="Kommentarer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KommentarsmneChar">
    <w:name w:val="Kommentarsämne Char"/>
    <w:basedOn w:val="KommentarerChar"/>
    <w:qFormat/>
    <w:rPr>
      <w:rFonts w:cs="Mangal"/>
      <w:b/>
      <w:bCs/>
      <w:sz w:val="20"/>
      <w:szCs w:val="18"/>
    </w:rPr>
  </w:style>
  <w:style w:type="character" w:styleId="Hyperlink">
    <w:name w:val="Hyperlink"/>
    <w:basedOn w:val="DefaultParagraphFont"/>
    <w:rPr>
      <w:color w:val="0000FF"/>
      <w:u w:val="single"/>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CommentText">
    <w:name w:val="annotation text"/>
    <w:basedOn w:val="Normal"/>
    <w:qFormat/>
    <w:rPr>
      <w:rFonts w:cs="Mangal"/>
      <w:sz w:val="20"/>
      <w:szCs w:val="18"/>
    </w:rPr>
  </w:style>
  <w:style w:type="paragraph" w:styleId="CommentSubject">
    <w:name w:val="annotation subject"/>
    <w:basedOn w:val="CommentText"/>
    <w:next w:val="CommentText"/>
    <w:qFormat/>
    <w:rPr>
      <w:b/>
      <w:bCs/>
    </w:rPr>
  </w:style>
  <w:style w:type="paragraph" w:styleId="Revision">
    <w:name w:val="Revision"/>
    <w:qFormat/>
    <w:pPr>
      <w:suppressAutoHyphens w:val="0"/>
      <w:overflowPunct w:val="0"/>
    </w:pPr>
    <w:rPr>
      <w:rFonts w:cs="Mangal"/>
      <w:szCs w:val="21"/>
    </w:rPr>
  </w:style>
  <w:style w:type="paragraph" w:styleId="FootnoteText">
    <w:name w:val="footnote text"/>
    <w:basedOn w:val="Normal"/>
    <w:link w:val="FootnoteTextChar"/>
    <w:uiPriority w:val="99"/>
    <w:semiHidden/>
    <w:unhideWhenUsed/>
    <w:rsid w:val="001E74B1"/>
    <w:rPr>
      <w:rFonts w:cs="Mangal"/>
      <w:sz w:val="20"/>
      <w:szCs w:val="18"/>
    </w:rPr>
  </w:style>
  <w:style w:type="character" w:customStyle="1" w:styleId="FootnoteTextChar">
    <w:name w:val="Footnote Text Char"/>
    <w:basedOn w:val="DefaultParagraphFont"/>
    <w:link w:val="FootnoteText"/>
    <w:uiPriority w:val="99"/>
    <w:semiHidden/>
    <w:rsid w:val="001E74B1"/>
    <w:rPr>
      <w:rFonts w:cs="Mangal"/>
      <w:sz w:val="20"/>
      <w:szCs w:val="18"/>
    </w:rPr>
  </w:style>
  <w:style w:type="character" w:styleId="FootnoteReference">
    <w:name w:val="footnote reference"/>
    <w:basedOn w:val="DefaultParagraphFont"/>
    <w:uiPriority w:val="99"/>
    <w:semiHidden/>
    <w:unhideWhenUsed/>
    <w:rsid w:val="001E74B1"/>
    <w:rPr>
      <w:vertAlign w:val="superscript"/>
    </w:rPr>
  </w:style>
  <w:style w:type="character" w:customStyle="1" w:styleId="BodyTextChar">
    <w:name w:val="Body Text Char"/>
    <w:basedOn w:val="DefaultParagraphFont"/>
    <w:link w:val="BodyText"/>
    <w:rsid w:val="001E7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8AF61-E103-6E40-B926-D9DF1339C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5</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van Berlekom</dc:creator>
  <dc:description/>
  <cp:lastModifiedBy>Microsoft Office User</cp:lastModifiedBy>
  <cp:revision>21</cp:revision>
  <dcterms:created xsi:type="dcterms:W3CDTF">2021-11-24T07:42:00Z</dcterms:created>
  <dcterms:modified xsi:type="dcterms:W3CDTF">2023-02-14T16:27:00Z</dcterms:modified>
  <dc:language>en-US</dc:language>
</cp:coreProperties>
</file>