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0.png" ContentType="image/png"/>
  <Override PartName="/word/media/rId122.png" ContentType="image/png"/>
  <Override PartName="/word/media/rId118.jpg" ContentType="image/jpeg"/>
  <Override PartName="/word/media/rId142.png" ContentType="image/png"/>
  <Override PartName="/word/media/rId134.png" ContentType="image/png"/>
  <Override PartName="/word/media/rId138.png" ContentType="image/png"/>
  <Override PartName="/word/media/rId126.png" ContentType="image/png"/>
  <Override PartName="/word/media/rId1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Impact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http://orcid.org/0000-0002-8393-5316</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http://orcid.org/0000-0002-8393-5316</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32"/>
    <w:bookmarkStart w:id="35" w:name="firstheader"/>
    <w:p>
      <w:pPr>
        <w:pStyle w:val="Heading1"/>
      </w:pPr>
      <w:r>
        <w:t xml:space="preserve">The Impact of Response Options on Gender Categorization of Faces</w:t>
      </w:r>
    </w:p>
    <w:p>
      <w:pPr>
        <w:pStyle w:val="FirstParagraph"/>
      </w:pPr>
      <w:r>
        <w:t xml:space="preserve">Many transgender and nonbinary (TNB) people experience gender as flexible, fluid, diffuse, and not bounded by the typical binary of women and men</w:t>
      </w:r>
      <w:r>
        <w:t xml:space="preserve"> </w:t>
      </w:r>
      <w:r>
        <w:t xml:space="preserve">(Hyde et al., 2018; Richards et al., 2016)</w:t>
      </w:r>
      <w:r>
        <w:t xml:space="preserve">. Unlike cisgender people - who identify with their assigned sex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In surveys and questionnaires that measure gender identity, however, gender has traditionally been constructed as a binary, where response options are limited to the categories of woman/female and man/male</w:t>
      </w:r>
      <w:r>
        <w:t xml:space="preserve"> </w:t>
      </w:r>
      <w:r>
        <w:t xml:space="preserve">(Saperstein &amp; Westbrook, 2021)</w:t>
      </w:r>
      <w:r>
        <w:t xml:space="preserve">. Such measurement invisibilizes and implicitly delegitimizes TGD identities</w:t>
      </w:r>
      <w:r>
        <w:t xml:space="preserve"> </w:t>
      </w:r>
      <w:r>
        <w:t xml:space="preserve">(Ansara &amp; Hegarty, 2014)</w:t>
      </w:r>
      <w:r>
        <w:t xml:space="preserve">. Recently, psychologists have been encouraged to include a wider range of response options</w:t>
      </w:r>
      <w:r>
        <w:t xml:space="preserve"> </w:t>
      </w:r>
      <w:r>
        <w:t xml:space="preserve">(Saperstein &amp; Westbrook, 2021)</w:t>
      </w:r>
      <w:r>
        <w:t xml:space="preserve"> </w:t>
      </w:r>
      <w:r>
        <w:t xml:space="preserve">or use free text options</w:t>
      </w:r>
      <w:r>
        <w:t xml:space="preserve"> </w:t>
      </w:r>
      <w:r>
        <w:t xml:space="preserve">(Lindqvist et al., 2020)</w:t>
      </w:r>
      <w:r>
        <w:t xml:space="preserve">. As awareness of gender diversity is increasing, these practices are becoming more common</w:t>
      </w:r>
      <w:r>
        <w:t xml:space="preserve"> </w:t>
      </w:r>
      <w:r>
        <w:t xml:space="preserve">(see Carleton et al., 2022; Cronin et al., 2022; D’Agostino et al., 2022 for some recent examples)</w:t>
      </w:r>
      <w:r>
        <w:t xml:space="preserve">. Research on gender categorization of others, however, is still dominated by binary response options</w:t>
      </w:r>
      <w:r>
        <w:t xml:space="preserve"> </w:t>
      </w:r>
      <w:r>
        <w:t xml:space="preserve">(eg. Campanella et al., 2001; Habibi &amp; Khurana, 2012; Jung et al., 2019)</w:t>
      </w:r>
      <w:r>
        <w:t xml:space="preserve">. Here we report two studies demonstrating how gender categorization of faces can be measured without reinforcing binary gender norms.</w:t>
      </w:r>
    </w:p>
    <w:bookmarkStart w:id="33" w:name="two-challenges-to-the-gender-binary"/>
    <w:p>
      <w:pPr>
        <w:pStyle w:val="Heading2"/>
      </w:pPr>
      <w:r>
        <w:t xml:space="preserve">Two Challenges to the Gender Binary</w:t>
      </w:r>
    </w:p>
    <w:p>
      <w:pPr>
        <w:pStyle w:val="FirstParagraph"/>
      </w:pPr>
      <w:r>
        <w:t xml:space="preserve">An early challenge to the norm of binary measurement of gender in psychology came from Sandra Bem in the ´70s</w:t>
      </w:r>
      <w:r>
        <w:t xml:space="preserve"> </w:t>
      </w:r>
      <w:r>
        <w:t xml:space="preserve">(Bem, 1974)</w:t>
      </w:r>
      <w:r>
        <w:t xml:space="preserve">. She devised a scale that measured gender as a psychological trait, treating femininity and masculinity as two separate constructs. This scale allowed for combinations of gender which challenged previous binary conceptions. Such combinations included</w:t>
      </w:r>
      <w:r>
        <w:t xml:space="preserve"> </w:t>
      </w:r>
      <w:r>
        <w:t xml:space="preserve">“</w:t>
      </w:r>
      <w:r>
        <w:t xml:space="preserve">androgynous</w:t>
      </w:r>
      <w:r>
        <w:t xml:space="preserve">”</w:t>
      </w:r>
      <w:r>
        <w:t xml:space="preserve">, which meant scoring high on both femininity and masculinity; and agender, which meant scoring low on both. Characteristically for research of its time, Bem still largely accepted the binary gender framework. In treating gender as a psychological trait, for example, the BSRI implicitly assumed all respondents were women or men.</w:t>
      </w:r>
    </w:p>
    <w:p>
      <w:pPr>
        <w:pStyle w:val="BodyText"/>
      </w:pPr>
      <w:r>
        <w:t xml:space="preserve">A later group of challenges to the gender binary in psychology emerged in the 2010s and onward. These researchers,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2018; Morgenroth &amp; Ryan, 2018; Richards et al., 2016)</w:t>
      </w:r>
      <w:r>
        <w:t xml:space="preserve">. Saperstein and Westbrook (2021), for example,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t xml:space="preserve">“</w:t>
      </w:r>
      <w:r>
        <w:t xml:space="preserve">transsexual</w:t>
      </w:r>
      <w:r>
        <w:t xml:space="preserve">”</w:t>
      </w:r>
      <w:r>
        <w:t xml:space="preserve"> </w:t>
      </w:r>
      <w:r>
        <w:t xml:space="preserve">for example, has been widely used and seen as acceptable, but is now understood to be stigmatizing (APA manual). A free text avoids this issue.</w:t>
      </w:r>
    </w:p>
    <w:p>
      <w:pPr>
        <w:pStyle w:val="BodyText"/>
      </w:pPr>
      <w:r>
        <w:t xml:space="preserve">Both the initial and later challenges to the gender binary in psychology primarily suggested ways to measure respondents’ own gender identity. This emphasis is understandable as gender identity is a commonly reported demographic variable. But gender is frequently also measured in terms of participants’ categorizations of others. Because self-categorization and categorization of others are different processes, however, the best measurement of self-categorization may not be the best measurement of the categorization of others.</w:t>
      </w:r>
    </w:p>
    <w:bookmarkEnd w:id="33"/>
    <w:bookmarkStart w:id="34" w:name="X54059e659b4292b4e47d22abdf797b7a194b9cd"/>
    <w:p>
      <w:pPr>
        <w:pStyle w:val="Heading2"/>
      </w:pPr>
      <w:r>
        <w:t xml:space="preserve">Measuring gender categorization of others</w:t>
      </w:r>
    </w:p>
    <w:p>
      <w:pPr>
        <w:pStyle w:val="FirstParagraph"/>
      </w:pPr>
      <w:r>
        <w:t xml:space="preserve">Research on how people perceive and categorize the gender of others has used both dimensional scales as well as discrete categories, but in both cases almost exclusively treats gender as a binary category. It is fairly common, for example, to use the one-dimensional approach, where participants rate the gender of others as a single dimension, from masculine to feminine. Much of this research explores evolutionary and other reasons for gender in faces, correlating one-dimensional categorization of facial gender with other traits, such as attractiveness</w:t>
      </w:r>
      <w:r>
        <w:t xml:space="preserve"> </w:t>
      </w:r>
      <w:r>
        <w:t xml:space="preserve">(Little &amp; Hancock, 2002)</w:t>
      </w:r>
      <w:r>
        <w:t xml:space="preserve">, and distinctiveness</w:t>
      </w:r>
      <w:r>
        <w:t xml:space="preserve"> </w:t>
      </w:r>
      <w:r>
        <w:t xml:space="preserve">(O’Toole et al., 1998)</w:t>
      </w:r>
      <w:r>
        <w:t xml:space="preserve">.</w:t>
      </w:r>
    </w:p>
    <w:p>
      <w:pPr>
        <w:pStyle w:val="BodyText"/>
      </w:pPr>
      <w:r>
        <w:t xml:space="preserve">Another common approach tasks people to categorize faces according to a set of response options decided by the researchers, almost invariably</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Moreover, participants categorize faces categorically</w:t>
      </w:r>
      <w:r>
        <w:t xml:space="preserve"> </w:t>
      </w:r>
      <w:r>
        <w:t xml:space="preserve">(Campanella et al., 2001)</w:t>
      </w:r>
      <w:r>
        <w:t xml:space="preserve">. This phenomenon has been observed when participants categorize faces that have been morphed to vary from feminine to masculine. Categorizations of these morphed faces were accentuated so that for example a 60% female morph was rated as a woman by close to 80% of participants</w:t>
      </w:r>
      <w:r>
        <w:t xml:space="preserve"> </w:t>
      </w:r>
      <w:r>
        <w:t xml:space="preserve">(Campanella et al., 2001)</w:t>
      </w:r>
      <w:r>
        <w:t xml:space="preserve">. Categorical effects for continuous stimuli in any domain suggests that people treat that domain as consisting of separate categories</w:t>
      </w:r>
      <w:r>
        <w:t xml:space="preserve"> </w:t>
      </w:r>
      <w:r>
        <w:t xml:space="preserve">(Simanova et al., 2016)</w:t>
      </w:r>
      <w:r>
        <w:t xml:space="preserve">. The observation of a categorical effect for gender therefore suggests that people treat gender as a strict binary consisting of women and men only.</w:t>
      </w:r>
    </w:p>
    <w:p>
      <w:pPr>
        <w:pStyle w:val="BodyText"/>
      </w:pPr>
      <w:r>
        <w:t xml:space="preserve">However, this research has rarely considered the risk that the structure of response options could communicate certain ideas about gender to participants. A one-dimensional scale implies that gender can vary on a continuum. It also places masculinity and femininity at the endpoints of the scales, so that a higher rating of femininity is by definition a lower rating of masculinity. This implies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 ideas are being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p>
      <w:pPr>
        <w:pStyle w:val="BodyText"/>
      </w:pPr>
      <w:r>
        <w:t xml:space="preserve">Another aspect of gender categorizations of others is that complete certainty is not possible. This is because many trans and non-binary individuals are not androgynous in their gender expression</w:t>
      </w:r>
      <w:r>
        <w:t xml:space="preserve"> </w:t>
      </w:r>
      <w:r>
        <w:t xml:space="preserve">(Richards et al., 2016)</w:t>
      </w:r>
      <w:r>
        <w:t xml:space="preserve">. Therefore, if a person aims to be inclusive, abstaining from categorizing until more information is available is always the safest option when encountering a face. However, this aspect of gender categorization has received very little attention from researchers.</w:t>
      </w:r>
    </w:p>
    <w:p>
      <w:pPr>
        <w:pStyle w:val="BodyText"/>
      </w:pPr>
      <w:r>
        <w:t xml:space="preserve">The purpose of Study 1 was to investigate the influencing effect of one and two-dimensional response options by investigating whether participants’ responses are categorical. A categorical effect is a useful outcome in this context because it suggests participants treat gender as consisting of only two categories: women and men. Drawing inspiration from Bem (1974) we compare gender categorization measured using one-dimensional response options and two-dimensional response options. If one-dimensional scales influence participants to think of gender as binary and opposites and two-dimensional scales don’t do this, there should be a reduced categorical effect for two-dimensional scales. We tested two research questions; would participants respond categorically to faces (Research Question 1) and would a one-dimensional rating scale elicit stronger categorical responses than two-dimensional (Research Question 2)?</w:t>
      </w:r>
    </w:p>
    <w:p>
      <w:pPr>
        <w:pStyle w:val="BodyText"/>
      </w:pPr>
      <w:r>
        <w:t xml:space="preserve">The purpose of Study 2 was to investigate categorization using non-binary gender response options. We included multiple categories beyond women and men, as suggested by for example Saperstein and Westbrook (2021) and we also included a free text as suggested by Lindqvist and colleagues (2019) Study 2 was mainly interested in how the two non-binary options compared to each other and how the presence of non-binary options affected the categorization of binary gender. As non-binary options have been promoted by feminist and LGBTQ+ activists, their inclusion might have more generalized effects on binary categorization. Therefore, study 2 also investigated the categorization of women and men.</w:t>
      </w:r>
    </w:p>
    <w:bookmarkEnd w:id="34"/>
    <w:bookmarkEnd w:id="35"/>
    <w:bookmarkStart w:id="46" w:name="study-1"/>
    <w:p>
      <w:pPr>
        <w:pStyle w:val="Heading1"/>
      </w:pPr>
      <w:r>
        <w:t xml:space="preserve">Study 1</w:t>
      </w:r>
    </w:p>
    <w:bookmarkStart w:id="40" w:name="method"/>
    <w:p>
      <w:pPr>
        <w:pStyle w:val="Heading2"/>
      </w:pPr>
      <w:r>
        <w:t xml:space="preserve">Method</w:t>
      </w:r>
    </w:p>
    <w:bookmarkStart w:id="36"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(33 women, 35 men, and 2 participants who did not indicate gender). Participants were monetarily compensated for their time (100 sek). All participants were informed that participation was voluntary and gave written consent to participate in the study.</w:t>
      </w:r>
    </w:p>
    <w:bookmarkEnd w:id="36"/>
    <w:bookmarkStart w:id="37"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(L. M. DeBruine &amp; Jones, 2017)</w:t>
      </w:r>
      <w:r>
        <w:t xml:space="preserve">and the Chicago Face Database</w:t>
      </w:r>
      <w:r>
        <w:t xml:space="preserve">(Ma et al., 2015)</w:t>
      </w:r>
      <w:r>
        <w:t xml:space="preserve"> </w:t>
      </w:r>
      <w:r>
        <w:t xml:space="preserve">morphed with Webmorph</w:t>
      </w:r>
      <w:r>
        <w:t xml:space="preserve"> </w:t>
      </w:r>
      <w:r>
        <w:t xml:space="preserve">(L. DeBruine, 2018)</w:t>
      </w:r>
      <w:r>
        <w:t xml:space="preserve">. We matched the faces of women and men using the codebook provided by the researchers, ensuring that the women were rated similar levels of feminine as the men were rated masculine. The morphs were made in 7 steps, from completely feminine to completely masculine. We defined the facial gender as the degree of the female face present in the morph. In other words, a 33% face was slightly tilted toward the man, a 50% face was an even mixture and a 100% face consisted only of the woman’s face. Because there were 18 pairs morphed in 7 steps, the total number of faces was 126.</w:t>
      </w:r>
    </w:p>
    <w:bookmarkEnd w:id="37"/>
    <w:bookmarkStart w:id="38" w:name="design-and-procedure"/>
    <w:p>
      <w:pPr>
        <w:pStyle w:val="Heading3"/>
      </w:pPr>
      <w:r>
        <w:t xml:space="preserve">Design and procedure</w:t>
      </w:r>
    </w:p>
    <w:p>
      <w:pPr>
        <w:pStyle w:val="FirstParagraph"/>
      </w:pPr>
      <w:r>
        <w:t xml:space="preserve">The experiment used a between-participants design. The two conditions were the</w:t>
      </w:r>
      <w:r>
        <w:t xml:space="preserve"> </w:t>
      </w:r>
      <w:r>
        <w:rPr>
          <w:iCs/>
          <w:i/>
        </w:rPr>
        <w:t xml:space="preserve">one-dimensional</w:t>
      </w:r>
      <w:r>
        <w:t xml:space="preserve"> </w:t>
      </w:r>
      <w:r>
        <w:t xml:space="preserve">(control condition), and</w:t>
      </w:r>
      <w:r>
        <w:t xml:space="preserve"> </w:t>
      </w:r>
      <w:r>
        <w:rPr>
          <w:iCs/>
          <w:i/>
        </w:rPr>
        <w:t xml:space="preserve">two-dimensional</w:t>
      </w:r>
      <w:r>
        <w:t xml:space="preserve"> </w:t>
      </w:r>
      <w:r>
        <w:t xml:space="preserve">(experimental) conditions. Participants were randomly allocated into one of the two response option conditions (</w:t>
      </w:r>
      <w:r>
        <w:rPr>
          <w:iCs/>
          <w:i/>
        </w:rPr>
        <w:t xml:space="preserve">N</w:t>
      </w:r>
      <w:r>
        <w:rPr>
          <w:vertAlign w:val="subscript"/>
        </w:rPr>
        <w:t xml:space="preserve">1d</w:t>
      </w:r>
      <w:r>
        <w:t xml:space="preserve"> </w:t>
      </w:r>
      <w:r>
        <w:t xml:space="preserve">= 28,</w:t>
      </w:r>
      <w:r>
        <w:t xml:space="preserve"> </w:t>
      </w:r>
      <w:r>
        <w:rPr>
          <w:iCs/>
          <w:i/>
        </w:rPr>
        <w:t xml:space="preserve">N</w:t>
      </w:r>
      <w:r>
        <w:rPr>
          <w:vertAlign w:val="subscript"/>
        </w:rPr>
        <w:t xml:space="preserve">2d</w:t>
      </w:r>
      <w:r>
        <w:t xml:space="preserve"> </w:t>
      </w:r>
      <w:r>
        <w:t xml:space="preserve">= 38).</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 one-dimensional control condition, participants rated gender based on a single continuum with the anchors marked</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two-dimensional condition, participants rated each face twice on two different continua, in the</w:t>
      </w:r>
      <w:r>
        <w:t xml:space="preserve"> </w:t>
      </w:r>
      <w:r>
        <w:t xml:space="preserve">“</w:t>
      </w:r>
      <w:r>
        <w:t xml:space="preserve">woman</w:t>
      </w:r>
      <w:r>
        <w:t xml:space="preserve">”</w:t>
      </w:r>
      <w:r>
        <w:t xml:space="preserve"> </w:t>
      </w:r>
      <w:r>
        <w:t xml:space="preserve">continuum, the anchors were marked</w:t>
      </w:r>
      <w:r>
        <w:t xml:space="preserve"> </w:t>
      </w:r>
      <w:r>
        <w:t xml:space="preserve">“</w:t>
      </w:r>
      <w:r>
        <w:t xml:space="preserve">not woman</w:t>
      </w:r>
      <w:r>
        <w:t xml:space="preserve">”</w:t>
      </w:r>
      <w:r>
        <w:t xml:space="preserve"> </w:t>
      </w:r>
      <w:r>
        <w:t xml:space="preserve">and</w:t>
      </w:r>
      <w:r>
        <w:t xml:space="preserve"> </w:t>
      </w:r>
      <w:r>
        <w:t xml:space="preserve">“</w:t>
      </w:r>
      <w:r>
        <w:t xml:space="preserve">woman</w:t>
      </w:r>
      <w:r>
        <w:t xml:space="preserve">”</w:t>
      </w:r>
      <w:r>
        <w:t xml:space="preserve">; in the</w:t>
      </w:r>
      <w:r>
        <w:t xml:space="preserve"> </w:t>
      </w:r>
      <w:r>
        <w:t xml:space="preserve">“</w:t>
      </w:r>
      <w:r>
        <w:t xml:space="preserve">man</w:t>
      </w:r>
      <w:r>
        <w:t xml:space="preserve">”</w:t>
      </w:r>
      <w:r>
        <w:t xml:space="preserve"> </w:t>
      </w:r>
      <w:r>
        <w:t xml:space="preserve">continuum the anchors were marked</w:t>
      </w:r>
      <w:r>
        <w:t xml:space="preserve"> </w:t>
      </w:r>
      <w:r>
        <w:t xml:space="preserve">“</w:t>
      </w:r>
      <w:r>
        <w:t xml:space="preserve">not man</w:t>
      </w:r>
      <w:r>
        <w:t xml:space="preserve">”</w:t>
      </w:r>
      <w:r>
        <w:t xml:space="preserve"> </w:t>
      </w:r>
      <w:r>
        <w:t xml:space="preserve">and</w:t>
      </w:r>
      <w:r>
        <w:t xml:space="preserve"> </w:t>
      </w:r>
      <w:r>
        <w:t xml:space="preserve">“</w:t>
      </w:r>
      <w:r>
        <w:t xml:space="preserve">man</w:t>
      </w:r>
      <w:r>
        <w:t xml:space="preserve">”</w:t>
      </w:r>
      <w:r>
        <w:t xml:space="preserve">. The separate continua were presented on different trials and the order of trials was completely randomized (see</w:t>
      </w:r>
      <w:r>
        <w:t xml:space="preserve"> </w:t>
      </w:r>
      <w:hyperlink w:anchor="fig-exp2-trial">
        <w:r>
          <w:rPr>
            <w:rStyle w:val="Hyperlink"/>
          </w:rPr>
          <w:t xml:space="preserve">Figure 2</w:t>
        </w:r>
      </w:hyperlink>
      <w:r>
        <w:t xml:space="preserve">).</w:t>
      </w:r>
    </w:p>
    <w:bookmarkEnd w:id="38"/>
    <w:bookmarkStart w:id="39"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 fit the data to Bayesian mixed-effects models to test the categorical effects. In all models, morph level and response options were included as fixed effects. Additionally, all models included varying intercepts for both participants and trials and varying slopes for facial gender. The pattern of scores was non-linear, meaning any linear model would probably be misspecified. Therefore, to reduce the complexity of the model, facial femininity was modeled as an ordered factor with seven levels, corresponding to each of the seven morphing steps.</w:t>
      </w:r>
    </w:p>
    <w:bookmarkEnd w:id="39"/>
    <w:bookmarkEnd w:id="40"/>
    <w:bookmarkStart w:id="44" w:name="results"/>
    <w:p>
      <w:pPr>
        <w:pStyle w:val="Heading2"/>
      </w:pPr>
      <w:r>
        <w:t xml:space="preserve">Results</w:t>
      </w:r>
    </w:p>
    <w:bookmarkStart w:id="41" w:name="participant-flow"/>
    <w:p>
      <w:pPr>
        <w:pStyle w:val="Heading3"/>
      </w:pPr>
      <w:r>
        <w:t xml:space="preserve">Participant flow</w:t>
      </w:r>
    </w:p>
    <w:p>
      <w:pPr>
        <w:pStyle w:val="FirstParagraph"/>
      </w:pPr>
      <w:r>
        <w:t xml:space="preserve">All participants completed the experiment and were included in the analyses. The one-dimension condition included 33 participants and the two-dimension condition included 38 participants.</w:t>
      </w:r>
    </w:p>
    <w:bookmarkEnd w:id="41"/>
    <w:bookmarkStart w:id="42" w:name="descriptive-statistics"/>
    <w:p>
      <w:pPr>
        <w:pStyle w:val="Heading3"/>
      </w:pPr>
      <w:r>
        <w:t xml:space="preserve">Descriptive statistics</w:t>
      </w:r>
    </w:p>
    <w:p>
      <w:pPr>
        <w:pStyle w:val="FirstParagraph"/>
      </w:pPr>
      <w:r>
        <w:t xml:space="preserve">First, we examined the relationship between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in the multiple dimensions condition. These were highly correlated (R = 0.86).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only to the morph of faces,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w:t>
      </w:r>
    </w:p>
    <w:bookmarkEnd w:id="42"/>
    <w:bookmarkStart w:id="43" w:name="inferential-statistics"/>
    <w:p>
      <w:pPr>
        <w:pStyle w:val="Heading3"/>
      </w:pPr>
      <w:r>
        <w:t xml:space="preserve">Inferential Statistics</w:t>
      </w:r>
    </w:p>
    <w:p>
      <w:pPr>
        <w:pStyle w:val="FirstParagraph"/>
      </w:pPr>
      <w:r>
        <w:t xml:space="preserve">To further test this,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 = [53.65, 65.26]) this difference far exceeded 34 and the narrow credible intervals suggest these measures were precisely estimated. We interpret this to mean that participants responded categorically. However,</w:t>
      </w:r>
      <w:r>
        <w:t xml:space="preserve"> </w:t>
      </w:r>
      <w:hyperlink w:anchor="fig-desc-two">
        <w:r>
          <w:rPr>
            <w:rStyle w:val="Hyperlink"/>
          </w:rPr>
          <w:t xml:space="preserve">Figure 3</w:t>
        </w:r>
      </w:hyperlink>
      <w:r>
        <w:t xml:space="preserve"> </w:t>
      </w:r>
      <w:r>
        <w:t xml:space="preserve">also suggests that there was a degree of individual variation, and some participants were more categorical than others in their ratings.</w:t>
      </w:r>
    </w:p>
    <w:p>
      <w:pPr>
        <w:pStyle w:val="BodyText"/>
      </w:pPr>
      <w:r>
        <w:t xml:space="preserve">Finally, we tested whether the categorical perception was reduced in the two-dimension condition compared to the one-dimension condition (Research Question 2). The two conditions were not meaningfully different (Difference = -0.83, CI = [-5.57, 7.24], BF</w:t>
      </w:r>
      <w:r>
        <w:rPr>
          <w:vertAlign w:val="subscript"/>
        </w:rPr>
        <w:t xml:space="preserve">01</w:t>
      </w:r>
      <w:r>
        <w:t xml:space="preserve">= 30.47). This suggests that categorical perception was not reduced by two-dimensional response options.</w:t>
      </w:r>
    </w:p>
    <w:bookmarkEnd w:id="43"/>
    <w:bookmarkEnd w:id="44"/>
    <w:bookmarkStart w:id="45"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5"/>
    <w:bookmarkEnd w:id="46"/>
    <w:bookmarkStart w:id="57"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Study 2 compared a control condition consisting of standard binary response options to two alternatives: a third gender option (such as</w:t>
      </w:r>
      <w:r>
        <w:t xml:space="preserve"> </w:t>
      </w:r>
      <w:r>
        <w:t xml:space="preserve">‘</w:t>
      </w:r>
      <w:r>
        <w:t xml:space="preserve">non-binary</w:t>
      </w:r>
      <w:r>
        <w:t xml:space="preserve">’</w:t>
      </w:r>
      <w:r>
        <w:t xml:space="preserve"> </w:t>
      </w:r>
      <w:r>
        <w:t xml:space="preserve">or</w:t>
      </w:r>
      <w:r>
        <w:t xml:space="preserve"> </w:t>
      </w:r>
      <w:r>
        <w:t xml:space="preserve">‘</w:t>
      </w:r>
      <w:r>
        <w:t xml:space="preserve">other</w:t>
      </w:r>
      <w:r>
        <w:t xml:space="preserve">’</w:t>
      </w:r>
      <w:r>
        <w:t xml:space="preserve">) and an open text box for participants to type in their response.</w:t>
      </w:r>
    </w:p>
    <w:bookmarkStart w:id="51" w:name="method-1"/>
    <w:p>
      <w:pPr>
        <w:pStyle w:val="Heading2"/>
      </w:pPr>
      <w:r>
        <w:t xml:space="preserve">Method</w:t>
      </w:r>
    </w:p>
    <w:bookmarkStart w:id="47"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as recommended by</w:t>
      </w:r>
      <w:r>
        <w:t xml:space="preserve"> </w:t>
      </w:r>
      <w:r>
        <w:t xml:space="preserve">(Lindqvist et al., 2020)</w:t>
      </w:r>
      <w:r>
        <w:t xml:space="preserve"> </w:t>
      </w:r>
      <w:r>
        <w:t xml:space="preserve">(56 women, 47 men 2 participants did not indicate gender). All participants were informed that participation was voluntary and gave written consent to participate in the study.</w:t>
      </w:r>
    </w:p>
    <w:bookmarkEnd w:id="47"/>
    <w:bookmarkStart w:id="48" w:name="stimuli-1"/>
    <w:p>
      <w:pPr>
        <w:pStyle w:val="Heading3"/>
      </w:pPr>
      <w:r>
        <w:t xml:space="preserve">Stimuli</w:t>
      </w:r>
    </w:p>
    <w:p>
      <w:pPr>
        <w:pStyle w:val="FirstParagraph"/>
      </w:pPr>
      <w:r>
        <w:t xml:space="preserve">The stimuli were identical to those of Study 1. In short, the stimuli comprised a multiracial set of faces morphed to vary in terms of facial gender. We defined facial gender as the degree of the female face present in the morph. In other words, a 33 face was slightly tilted toward the man, a 50 face was an even mixture and a 100 consisted only of the woman’s face. Because there were 18 pairs morphed in 7 steps, the total number of faces was 126.</w:t>
      </w:r>
    </w:p>
    <w:bookmarkEnd w:id="48"/>
    <w:bookmarkStart w:id="49" w:name="design-and-procedure-1"/>
    <w:p>
      <w:pPr>
        <w:pStyle w:val="Heading3"/>
      </w:pPr>
      <w:r>
        <w:t xml:space="preserve">Design and Procedure</w:t>
      </w:r>
    </w:p>
    <w:p>
      <w:pPr>
        <w:pStyle w:val="FirstParagraph"/>
      </w:pPr>
      <w:r>
        <w:t xml:space="preserve">The experiment used a between-participants design. There were three response options conditions:</w:t>
      </w:r>
      <w:r>
        <w:t xml:space="preserve"> </w:t>
      </w:r>
      <w:r>
        <w:rPr>
          <w:iCs/>
          <w:i/>
        </w:rPr>
        <w:t xml:space="preserve">binary categories</w:t>
      </w:r>
      <w:r>
        <w:t xml:space="preserve">,</w:t>
      </w:r>
      <w:r>
        <w:t xml:space="preserve"> </w:t>
      </w:r>
      <w:r>
        <w:rPr>
          <w:iCs/>
          <w:i/>
        </w:rPr>
        <w:t xml:space="preserve">free text</w:t>
      </w:r>
      <w:r>
        <w:t xml:space="preserve">, and</w:t>
      </w:r>
      <w:r>
        <w:t xml:space="preserve"> </w:t>
      </w:r>
      <w:r>
        <w:rPr>
          <w:iCs/>
          <w:i/>
        </w:rPr>
        <w:t xml:space="preserve">multiple categories</w:t>
      </w:r>
      <w:r>
        <w:t xml:space="preserve"> </w:t>
      </w:r>
      <w:r>
        <w:t xml:space="preserve">(see</w:t>
      </w:r>
      <w:r>
        <w:t xml:space="preserve"> </w:t>
      </w:r>
      <w:hyperlink w:anchor="fig-exp1-trial">
        <w:r>
          <w:rPr>
            <w:rStyle w:val="Hyperlink"/>
          </w:rPr>
          <w:t xml:space="preserve">Figure 4</w:t>
        </w:r>
      </w:hyperlink>
      <w:r>
        <w:t xml:space="preserve">). In the binary categories condition, the response options consisted of two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free text condition, the response options consisted of an open text box. In the multiple categories condition, the response options consisted of four categories:</w:t>
      </w:r>
      <w:r>
        <w:t xml:space="preserve"> </w:t>
      </w:r>
      <w:r>
        <w:t xml:space="preserve">“</w:t>
      </w:r>
      <w:r>
        <w:t xml:space="preserve">woman</w:t>
      </w:r>
      <w:r>
        <w:t xml:space="preserve">”</w:t>
      </w:r>
      <w:r>
        <w:t xml:space="preserve">,</w:t>
      </w:r>
      <w:r>
        <w:t xml:space="preserve"> </w:t>
      </w:r>
      <w:r>
        <w:t xml:space="preserve">“</w:t>
      </w:r>
      <w:r>
        <w:t xml:space="preserve">man</w:t>
      </w:r>
      <w:r>
        <w:t xml:space="preserve">”</w:t>
      </w:r>
      <w:r>
        <w:t xml:space="preserve">,</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 these were aggregated in the following ways:</w:t>
      </w:r>
    </w:p>
    <w:p>
      <w:pPr>
        <w:pStyle w:val="BodyText"/>
      </w:pPr>
      <w:r>
        <w:rPr>
          <w:iCs/>
          <w:i/>
        </w:rPr>
        <w:t xml:space="preserve">Other categorizations</w:t>
      </w:r>
      <w:r>
        <w:t xml:space="preserve"> </w:t>
      </w:r>
      <w:r>
        <w:t xml:space="preserve">represented the trials where participants categorized faces as any other category than woman or man. In the multiple categories conditions, this was computed by dichotomizing the variable so</w:t>
      </w:r>
      <w:r>
        <w:t xml:space="preserve"> </w:t>
      </w:r>
      <w:r>
        <w:t xml:space="preserve">“</w:t>
      </w:r>
      <w:r>
        <w:t xml:space="preserve">other</w:t>
      </w:r>
      <w:r>
        <w:t xml:space="preserve">”</w:t>
      </w:r>
      <w:r>
        <w:t xml:space="preserve"> </w:t>
      </w:r>
      <w:r>
        <w:t xml:space="preserve">= 1 and all other responses = 0. In the free text condition, it was computed by summing variations of</w:t>
      </w:r>
      <w:r>
        <w:t xml:space="preserve"> </w:t>
      </w:r>
      <w:r>
        <w:t xml:space="preserve">“</w:t>
      </w:r>
      <w:r>
        <w:t xml:space="preserve">other</w:t>
      </w:r>
      <w:r>
        <w:t xml:space="preserve">”</w:t>
      </w:r>
      <w:r>
        <w:t xml:space="preserve"> </w:t>
      </w:r>
      <w:r>
        <w:t xml:space="preserve">and</w:t>
      </w:r>
      <w:r>
        <w:t xml:space="preserve"> </w:t>
      </w:r>
      <w:r>
        <w:t xml:space="preserve">“</w:t>
      </w:r>
      <w:r>
        <w:t xml:space="preserve">non-binary</w:t>
      </w:r>
      <w:r>
        <w:t xml:space="preserve">”</w:t>
      </w:r>
      <w:r>
        <w:t xml:space="preserve"> </w:t>
      </w:r>
      <w:r>
        <w:t xml:space="preserve">and dichotomizing this new index.</w:t>
      </w:r>
    </w:p>
    <w:p>
      <w:pPr>
        <w:pStyle w:val="BodyText"/>
      </w:pPr>
      <w:r>
        <w:rPr>
          <w:iCs/>
          <w:i/>
        </w:rPr>
        <w:t xml:space="preserve">I don’t know responses</w:t>
      </w:r>
      <w:r>
        <w:t xml:space="preserve"> </w:t>
      </w:r>
      <w:r>
        <w:t xml:space="preserve">represented trials where participants did not categorize any gender category. In the multiple categories conditions, this was computed by dichotomizing the variables so</w:t>
      </w:r>
      <w:r>
        <w:t xml:space="preserve"> </w:t>
      </w:r>
      <w:r>
        <w:t xml:space="preserve">“</w:t>
      </w:r>
      <w:r>
        <w:t xml:space="preserve">I don’t know</w:t>
      </w:r>
      <w:r>
        <w:t xml:space="preserve">”</w:t>
      </w:r>
      <w:r>
        <w:t xml:space="preserve"> </w:t>
      </w:r>
      <w:r>
        <w:t xml:space="preserve">= 1 and all other responses = 0. In the free text condition, responses were computed by summing variations of</w:t>
      </w:r>
      <w:r>
        <w:t xml:space="preserve"> </w:t>
      </w:r>
      <w:r>
        <w:t xml:space="preserve">“</w:t>
      </w:r>
      <w:r>
        <w:t xml:space="preserve">unsure</w:t>
      </w:r>
      <w:r>
        <w:t xml:space="preserve">”</w:t>
      </w:r>
      <w:r>
        <w:t xml:space="preserve"> </w:t>
      </w:r>
      <w:r>
        <w:t xml:space="preserve">and</w:t>
      </w:r>
      <w:r>
        <w:t xml:space="preserve"> </w:t>
      </w:r>
      <w:r>
        <w:t xml:space="preserve">“</w:t>
      </w:r>
      <w:r>
        <w:t xml:space="preserve">I don’t know</w:t>
      </w:r>
      <w:r>
        <w:t xml:space="preserve">”</w:t>
      </w:r>
      <w:r>
        <w:t xml:space="preserve"> </w:t>
      </w:r>
      <w:r>
        <w:t xml:space="preserve">and dichotomizing this new index.</w:t>
      </w:r>
    </w:p>
    <w:p>
      <w:pPr>
        <w:pStyle w:val="BodyText"/>
      </w:pPr>
      <w:r>
        <w:rPr>
          <w:iCs/>
          <w:i/>
        </w:rPr>
        <w:t xml:space="preserve">Binary categorization</w:t>
      </w:r>
      <w:r>
        <w:t xml:space="preserve"> </w:t>
      </w:r>
      <w:r>
        <w:t xml:space="preserve">represented only the responses that were either woman (coded as 1) or man (coded as 0). All other responses were removed from this dataset (this meant removing a total of 226 responses from 20 participants).</w:t>
      </w:r>
    </w:p>
    <w:bookmarkEnd w:id="49"/>
    <w:bookmarkStart w:id="50" w:name="data-analysis-1"/>
    <w:p>
      <w:pPr>
        <w:pStyle w:val="Heading3"/>
      </w:pPr>
      <w:r>
        <w:t xml:space="preserve">Data analysis</w:t>
      </w:r>
    </w:p>
    <w:p>
      <w:pPr>
        <w:pStyle w:val="FirstParagraph"/>
      </w:pPr>
      <w:r>
        <w:t xml:space="preserve">We fit the data to Bayesian mixed-effects models to test the categorical effects. In all models, facial gender and response option condition were included as fixed effects. Additionally, all models included varying intercepts for both participants and trials and varying slopes for morph level.</w:t>
      </w:r>
    </w:p>
    <w:bookmarkEnd w:id="50"/>
    <w:bookmarkEnd w:id="51"/>
    <w:bookmarkStart w:id="55" w:name="results-1"/>
    <w:p>
      <w:pPr>
        <w:pStyle w:val="Heading2"/>
      </w:pPr>
      <w:r>
        <w:t xml:space="preserve">Results</w:t>
      </w:r>
    </w:p>
    <w:bookmarkStart w:id="52" w:name="participant-flow-1"/>
    <w:p>
      <w:pPr>
        <w:pStyle w:val="Heading3"/>
      </w:pPr>
      <w:r>
        <w:t xml:space="preserve">Participant Flow</w:t>
      </w:r>
    </w:p>
    <w:bookmarkEnd w:id="52"/>
    <w:bookmarkStart w:id="53" w:name="categorizations-outside-the-binary"/>
    <w:p>
      <w:pPr>
        <w:pStyle w:val="Heading3"/>
      </w:pPr>
      <w:r>
        <w:t xml:space="preserve">Categorizations outside the binary</w:t>
      </w:r>
    </w:p>
    <w:p>
      <w:pPr>
        <w:pStyle w:val="FirstParagraph"/>
      </w:pPr>
      <w:r>
        <w:t xml:space="preserve">Most faces were categorized as women or men, by most participants (see Figure</w:t>
      </w:r>
      <w:r>
        <w:t xml:space="preserve"> </w:t>
      </w:r>
      <w:hyperlink w:anchor="fig-desc-1">
        <w:r>
          <w:rPr>
            <w:rStyle w:val="Hyperlink"/>
          </w:rPr>
          <w:t xml:space="preserve">Figure 5</w:t>
        </w:r>
      </w:hyperlink>
      <w:r>
        <w:t xml:space="preserve">). That said,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r>
        <w:t xml:space="preserve">There was also a clear difference between conditions; which is visible in</w:t>
      </w:r>
      <w:r>
        <w:t xml:space="preserve"> </w:t>
      </w:r>
      <w:hyperlink w:anchor="fig-desc-nbo">
        <w:r>
          <w:rPr>
            <w:rStyle w:val="Hyperlink"/>
          </w:rPr>
          <w:t xml:space="preserve">Figure 6</w:t>
        </w:r>
      </w:hyperlink>
      <w:r>
        <w:t xml:space="preserve"> </w:t>
      </w:r>
      <w:r>
        <w:t xml:space="preserve">(</w:t>
      </w:r>
      <w:r>
        <w:rPr>
          <w:iCs/>
          <w:i/>
        </w:rPr>
        <w:t xml:space="preserve">ellis note: or</w:t>
      </w:r>
      <w:r>
        <w:t xml:space="preserve"> </w:t>
      </w:r>
      <w:hyperlink w:anchor="fig-cond">
        <w:r>
          <w:rPr>
            <w:rStyle w:val="Hyperlink"/>
          </w:rPr>
          <w:t xml:space="preserve">Figure 7</w:t>
        </w:r>
      </w:hyperlink>
      <w:r>
        <w:t xml:space="preserve">)</w:t>
      </w:r>
      <w:r>
        <w:t xml:space="preserve"> </w:t>
      </w:r>
      <w:hyperlink w:anchor="fig-desc-nbo">
        <w:r>
          <w:rPr>
            <w:rStyle w:val="Hyperlink"/>
          </w:rPr>
          <w:t xml:space="preserve">Figure 6</w:t>
        </w:r>
      </w:hyperlink>
      <w:r>
        <w:t xml:space="preserve"> </w:t>
      </w:r>
      <w:r>
        <w:t xml:space="preserve">illustrates how many categorizations beyond the binary participants made. Each dot represents one participant, red dots represent the number of</w:t>
      </w:r>
      <w:r>
        <w:t xml:space="preserve"> </w:t>
      </w:r>
      <w:r>
        <w:t xml:space="preserve">“</w:t>
      </w:r>
      <w:r>
        <w:t xml:space="preserve">other</w:t>
      </w:r>
      <w:r>
        <w:t xml:space="preserve">”</w:t>
      </w:r>
      <w:r>
        <w:t xml:space="preserve"> </w:t>
      </w:r>
      <w:r>
        <w:t xml:space="preserve">categorizations made by one participant and blue dots represent the number of</w:t>
      </w:r>
      <w:r>
        <w:t xml:space="preserve"> </w:t>
      </w:r>
      <w:r>
        <w:t xml:space="preserve">“</w:t>
      </w:r>
      <w:r>
        <w:t xml:space="preserve">Don’t know</w:t>
      </w:r>
      <w:r>
        <w:t xml:space="preserve">”</w:t>
      </w:r>
      <w:r>
        <w:t xml:space="preserve"> </w:t>
      </w:r>
      <w:r>
        <w:t xml:space="preserve">responses. Grey dots represent participants who only categorized faces as women or men. In the Free Text condition, only two participants made any other categorization than woman and man, whereas more than half did so in the Multiple Categories condition (see fig-descriptives-nbo</w:t>
      </w:r>
      <w:r>
        <w:t xml:space="preserve"> </w:t>
      </w:r>
      <w:r>
        <w:rPr>
          <w:iCs/>
          <w:i/>
        </w:rPr>
        <w:t xml:space="preserve">or</w:t>
      </w:r>
      <w:r>
        <w:t xml:space="preserve"> </w:t>
      </w:r>
      <w:hyperlink w:anchor="fig-cond">
        <w:r>
          <w:rPr>
            <w:rStyle w:val="Hyperlink"/>
          </w:rPr>
          <w:t xml:space="preserve">Figure 7</w:t>
        </w:r>
      </w:hyperlink>
      <w:r>
        <w:t xml:space="preserve"> </w:t>
      </w:r>
      <w:r>
        <w:t xml:space="preserve">).</w:t>
      </w:r>
    </w:p>
    <w:bookmarkEnd w:id="53"/>
    <w:bookmarkStart w:id="54" w:name="categorization-within-the-binary"/>
    <w:p>
      <w:pPr>
        <w:pStyle w:val="Heading3"/>
      </w:pPr>
      <w:r>
        <w:t xml:space="preserve">Categorization within the binary</w:t>
      </w:r>
    </w:p>
    <w:p>
      <w:pPr>
        <w:pStyle w:val="FirstParagraph"/>
      </w:pPr>
      <w:r>
        <w:t xml:space="preserve">When people categorize faces beyond the binary such categorization also affects the categorization of faces as men or women. For example, the categorization of faces as non-binary could theoretically decrease either</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t>
      </w:r>
      <w:r>
        <w:t xml:space="preserve">categorization, if for example</w:t>
      </w:r>
      <w:r>
        <w:t xml:space="preserve"> </w:t>
      </w:r>
      <w:r>
        <w:t xml:space="preserve">“</w:t>
      </w:r>
      <w:r>
        <w:t xml:space="preserve">other</w:t>
      </w:r>
      <w:r>
        <w:t xml:space="preserve">”</w:t>
      </w:r>
      <w:r>
        <w:t xml:space="preserve"> </w:t>
      </w:r>
      <w:r>
        <w:t xml:space="preserve">categorizations consistently replaced</w:t>
      </w:r>
      <w:r>
        <w:t xml:space="preserve"> </w:t>
      </w:r>
      <w:r>
        <w:t xml:space="preserve">“</w:t>
      </w:r>
      <w:r>
        <w:t xml:space="preserve">woman</w:t>
      </w:r>
      <w:r>
        <w:t xml:space="preserve">”</w:t>
      </w:r>
      <w:r>
        <w:t xml:space="preserve"> </w:t>
      </w:r>
      <w:r>
        <w:t xml:space="preserve">categorization. We therefore investigated how inclusive response options changed participants’ binary categorizations. Overall rates of binary categorizations were similar 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a neutral baseline against which the other two conditions were tested. The evidence indicated that faces were categorized as women and at equal rates in the Multiple Categories and Binary Categories conditions (OR = 0.68, CI =[0.4, 1.17], BF</w:t>
      </w:r>
      <w:r>
        <w:rPr>
          <w:vertAlign w:val="subscript"/>
        </w:rPr>
        <w:t xml:space="preserve">01</w:t>
      </w:r>
      <w:r>
        <w:t xml:space="preserve">= 6.07, corresponding to moderate evidence). The evidence also indicated that faces were categorized as women and men at equal rates the Free text and Binary Categories condition (OR = 1.03, CI =[0.6, 1.78], BF</w:t>
      </w:r>
      <w:r>
        <w:rPr>
          <w:vertAlign w:val="subscript"/>
        </w:rPr>
        <w:t xml:space="preserve">01</w:t>
      </w:r>
      <w:r>
        <w:t xml:space="preserve">= 15.58). In other words, neither the free text nor the multiple categories condition changed the pattern of categorization of women and men compared to the binary categories condition.</w:t>
      </w:r>
    </w:p>
    <w:p>
      <w:pPr>
        <w:pStyle w:val="BodyText"/>
      </w:pPr>
      <w:r>
        <w:t xml:space="preserve">We also compared the relationship between facial gender and binary categorization (i.e. the slope of facial gender) across the conditions. The slope of facial gender on binary categorizations was almost the same in the multiple categories and binary categories conditions (Difference = 0, CI =[-0.02, 0.03], BF</w:t>
      </w:r>
      <w:r>
        <w:rPr>
          <w:vertAlign w:val="subscript"/>
        </w:rPr>
        <w:t xml:space="preserve">01</w:t>
      </w:r>
      <w:r>
        <w:t xml:space="preserve">= 394.93). The effect of facial femininity on woman categorizations almost was the same in the free text and binary categories (Difference &gt; 0.001, CI =[-0.02, 0.02], BF</w:t>
      </w:r>
      <w:r>
        <w:rPr>
          <w:vertAlign w:val="subscript"/>
        </w:rPr>
        <w:t xml:space="preserve">01</w:t>
      </w:r>
      <w:r>
        <w:t xml:space="preserve">= 394.93).</w:t>
      </w:r>
    </w:p>
    <w:bookmarkEnd w:id="54"/>
    <w:bookmarkEnd w:id="55"/>
    <w:bookmarkStart w:id="56" w:name="discussion-1"/>
    <w:p>
      <w:pPr>
        <w:pStyle w:val="Heading2"/>
      </w:pPr>
      <w:r>
        <w:t xml:space="preserve">Discussion</w:t>
      </w:r>
    </w:p>
    <w:p>
      <w:pPr>
        <w:pStyle w:val="FirstParagraph"/>
      </w:pPr>
      <w:r>
        <w:t xml:space="preserve">Experiment 2 indicated that participants categorize beyond the binary when response options include more options than women and men only. However, the free text option did not differ from the binary option. Thus, the multiple categories condition, with its explicitly stated non-binary options seems to act as reminders to participants. Furthermore, categorization within the binary was not skewed by the addition of multiple categories or the free text option, meaning that the ratio of women and men categorizations was still about 50/50. This did not systematically affect their overall pattern of responses in terms of woman and man categorizations.</w:t>
      </w:r>
    </w:p>
    <w:bookmarkEnd w:id="56"/>
    <w:bookmarkEnd w:id="57"/>
    <w:bookmarkStart w:id="58" w:name="general-discussion"/>
    <w:p>
      <w:pPr>
        <w:pStyle w:val="Heading1"/>
      </w:pPr>
      <w:r>
        <w:t xml:space="preserve">General Discussion</w:t>
      </w:r>
    </w:p>
    <w:p>
      <w:pPr>
        <w:pStyle w:val="FirstParagraph"/>
      </w:pPr>
      <w:r>
        <w:t xml:space="preserve">In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are consistent with previous work on categorical perception of gender in faces</w:t>
      </w:r>
      <w:r>
        <w:t xml:space="preserve"> </w:t>
      </w:r>
      <w:r>
        <w:t xml:space="preserve">(Campanella et al., 2001, 2003)</w:t>
      </w:r>
      <w:r>
        <w:t xml:space="preserve">. Participants exhibited a categorical pattern of responses where ratings of gender were accentuated compared to the facial gender of the faces, suggesting that they had a strong impression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were strongly correlated. This is probably accounted for by the differences in outcome measures. Bem (1974) measured gender as a psychological trait in the self, whereas we measured gender as a judgment of the physical features of others. Judging physical properties is much more influenced by external stuff.</w:t>
      </w:r>
    </w:p>
    <w:p>
      <w:pPr>
        <w:pStyle w:val="BodyText"/>
      </w:pPr>
      <w:r>
        <w:t xml:space="preserve">The finding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however, that flexibility was rarely used when the response options consisted of a free text. This likely reflects the difference between TGD people categorizing their own gender and cisgender participants categorizing others.</w:t>
      </w:r>
    </w:p>
    <w:p>
      <w:pPr>
        <w:pStyle w:val="BodyText"/>
      </w:pPr>
      <w:r>
        <w:t xml:space="preserve">A probable explanation for the difference between free text and multiple categories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impacted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to carefully consider how they measure the categorization of others.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p>
      <w:pPr>
        <w:pStyle w:val="Heading4"/>
        <w:rPr>
          <w:vanish/>
          <w:specVanish/>
        </w:rPr>
      </w:pPr>
      <w:r>
        <w:t>Conclusion.</w:t>
      </w:r>
      <w:r>
        <w:t xml:space="preserve"> </w:t>
      </w:r>
    </w:p>
    <w:p>
      <w:pPr>
        <w:pStyle w:val="BodyText"/>
      </w:pPr>
      <w:r>
        <w:t xml:space="preserve">In two experiments we tested how different response alternatives affected gender categorizations. Participants were more likely to categorize faces beyond the binary when using multiple categories,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8"/>
    <w:bookmarkStart w:id="150" w:name="references"/>
    <w:p>
      <w:pPr>
        <w:pStyle w:val="Heading1"/>
      </w:pPr>
      <w:r>
        <w:t xml:space="preserve">References</w:t>
      </w:r>
    </w:p>
    <w:bookmarkStart w:id="117" w:name="refs"/>
    <w:bookmarkStart w:id="60"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9">
        <w:r>
          <w:rPr>
            <w:rStyle w:val="Hyperlink"/>
          </w:rPr>
          <w:t xml:space="preserve">https://doi.org/10.1177/0959353514526217</w:t>
        </w:r>
      </w:hyperlink>
    </w:p>
    <w:bookmarkEnd w:id="60"/>
    <w:bookmarkStart w:id="62"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61">
        <w:r>
          <w:rPr>
            <w:rStyle w:val="Hyperlink"/>
          </w:rPr>
          <w:t xml:space="preserve">https://github.com/crsh/papaja</w:t>
        </w:r>
      </w:hyperlink>
    </w:p>
    <w:bookmarkEnd w:id="62"/>
    <w:bookmarkStart w:id="63" w:name="Xf62305b534fc092663853353bd32b668049c00e"/>
    <w:p>
      <w:pPr>
        <w:pStyle w:val="Bibliography"/>
      </w:pPr>
      <w:r>
        <w:t xml:space="preserve">Bem, S. L. (1974).</w:t>
      </w:r>
      <w:r>
        <w:t xml:space="preserve"> </w:t>
      </w:r>
      <w:r>
        <w:rPr>
          <w:iCs/>
          <w:i/>
        </w:rPr>
        <w:t xml:space="preserve">THE MEASUREMENT OF PSYCHOLOGICAL ANDROGYNY</w:t>
      </w:r>
      <w:r>
        <w:t xml:space="preserve">. 8.</w:t>
      </w:r>
    </w:p>
    <w:bookmarkEnd w:id="63"/>
    <w:bookmarkStart w:id="65"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4">
        <w:r>
          <w:rPr>
            <w:rStyle w:val="Hyperlink"/>
          </w:rPr>
          <w:t xml:space="preserve">https://doi.org/10.18637/jss.v080.i01</w:t>
        </w:r>
      </w:hyperlink>
    </w:p>
    <w:bookmarkEnd w:id="65"/>
    <w:bookmarkStart w:id="67"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6">
        <w:r>
          <w:rPr>
            <w:rStyle w:val="Hyperlink"/>
          </w:rPr>
          <w:t xml:space="preserve">https://doi.org/10.32614/RJ-2018-017</w:t>
        </w:r>
      </w:hyperlink>
    </w:p>
    <w:bookmarkEnd w:id="67"/>
    <w:bookmarkStart w:id="69"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8">
        <w:r>
          <w:rPr>
            <w:rStyle w:val="Hyperlink"/>
          </w:rPr>
          <w:t xml:space="preserve">https://doi.org/10.18637/jss.v100.i05</w:t>
        </w:r>
      </w:hyperlink>
    </w:p>
    <w:bookmarkEnd w:id="69"/>
    <w:bookmarkStart w:id="70" w:name="ref-butlerGenderTroubleFeminism1999"/>
    <w:p>
      <w:pPr>
        <w:pStyle w:val="Bibliography"/>
      </w:pPr>
      <w:r>
        <w:t xml:space="preserve">Butler, J. (1999).</w:t>
      </w:r>
      <w:r>
        <w:t xml:space="preserve"> </w:t>
      </w:r>
      <w:r>
        <w:rPr>
          <w:iCs/>
          <w:i/>
        </w:rPr>
        <w:t xml:space="preserve">Gender trouble: Feminism and the subversion of identity</w:t>
      </w:r>
      <w:r>
        <w:t xml:space="preserve">.</w:t>
      </w:r>
      <w:r>
        <w:t xml:space="preserve"> </w:t>
      </w:r>
      <w:r>
        <w:t xml:space="preserve">Routledge</w:t>
      </w:r>
      <w:r>
        <w:t xml:space="preserve">.</w:t>
      </w:r>
    </w:p>
    <w:bookmarkEnd w:id="70"/>
    <w:bookmarkStart w:id="72"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71">
        <w:r>
          <w:rPr>
            <w:rStyle w:val="Hyperlink"/>
          </w:rPr>
          <w:t xml:space="preserve">https://doi.org/10.1080/13506280042000072</w:t>
        </w:r>
      </w:hyperlink>
    </w:p>
    <w:bookmarkEnd w:id="72"/>
    <w:bookmarkStart w:id="74"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73">
        <w:r>
          <w:rPr>
            <w:rStyle w:val="Hyperlink"/>
          </w:rPr>
          <w:t xml:space="preserve">https://doi.org/10.1080/713756676</w:t>
        </w:r>
      </w:hyperlink>
    </w:p>
    <w:bookmarkEnd w:id="74"/>
    <w:bookmarkStart w:id="76"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75">
        <w:r>
          <w:rPr>
            <w:rStyle w:val="Hyperlink"/>
          </w:rPr>
          <w:t xml:space="preserve">https://doi.org/10.1186/s40359-022-00989-0</w:t>
        </w:r>
      </w:hyperlink>
    </w:p>
    <w:bookmarkEnd w:id="76"/>
    <w:bookmarkStart w:id="78"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77">
        <w:r>
          <w:rPr>
            <w:rStyle w:val="Hyperlink"/>
          </w:rPr>
          <w:t xml:space="preserve">https://doi.org/10.1371/journal.pone.0262208</w:t>
        </w:r>
      </w:hyperlink>
    </w:p>
    <w:bookmarkEnd w:id="78"/>
    <w:bookmarkStart w:id="80" w:name="X0b86088c3e980b42f8f29a4701e43ee83117038"/>
    <w:p>
      <w:pPr>
        <w:pStyle w:val="Bibliography"/>
      </w:pPr>
      <w:r>
        <w:t xml:space="preserve">D’Agostino, M., Levine, H., Sabharwal, M., &amp; Johnson-Manning, A. C. (2022). Organizational</w:t>
      </w:r>
      <w:r>
        <w:t xml:space="preserve"> </w:t>
      </w:r>
      <w:r>
        <w:t xml:space="preserve">Practices</w:t>
      </w:r>
      <w:r>
        <w:t xml:space="preserve"> </w:t>
      </w:r>
      <w:r>
        <w:t xml:space="preserve">and</w:t>
      </w:r>
      <w:r>
        <w:t xml:space="preserve"> </w:t>
      </w:r>
      <w:r>
        <w:t xml:space="preserve">Second-Generation Gender Bias</w:t>
      </w:r>
      <w:r>
        <w:t xml:space="preserve">:</w:t>
      </w:r>
      <w:r>
        <w:t xml:space="preserve"> </w:t>
      </w:r>
      <w:r>
        <w:t xml:space="preserve">A Qualitative Inquiry</w:t>
      </w:r>
      <w:r>
        <w:t xml:space="preserve"> </w:t>
      </w:r>
      <w:r>
        <w:t xml:space="preserve">into the</w:t>
      </w:r>
      <w:r>
        <w:t xml:space="preserve"> </w:t>
      </w:r>
      <w:r>
        <w:t xml:space="preserve">Career Progression</w:t>
      </w:r>
      <w:r>
        <w:t xml:space="preserve"> </w:t>
      </w:r>
      <w:r>
        <w:t xml:space="preserve">of</w:t>
      </w:r>
      <w:r>
        <w:t xml:space="preserve"> </w:t>
      </w:r>
      <w:r>
        <w:t xml:space="preserve">U</w:t>
      </w:r>
      <w:r>
        <w:t xml:space="preserve">.</w:t>
      </w:r>
      <w:r>
        <w:t xml:space="preserve">S</w:t>
      </w:r>
      <w:r>
        <w:t xml:space="preserve">.</w:t>
      </w:r>
      <w:r>
        <w:t xml:space="preserve"> </w:t>
      </w:r>
      <w:r>
        <w:t xml:space="preserve">State-Level Managers</w:t>
      </w:r>
      <w:r>
        <w:t xml:space="preserve">.</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9">
        <w:r>
          <w:rPr>
            <w:rStyle w:val="Hyperlink"/>
          </w:rPr>
          <w:t xml:space="preserve">https://doi.org/10.1177/02750740221086605</w:t>
        </w:r>
      </w:hyperlink>
    </w:p>
    <w:bookmarkEnd w:id="80"/>
    <w:bookmarkStart w:id="81"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81"/>
    <w:bookmarkStart w:id="83" w:name="ref-debruineFaceResearchLab2017"/>
    <w:p>
      <w:pPr>
        <w:pStyle w:val="Bibliography"/>
      </w:pPr>
      <w:r>
        <w:t xml:space="preserve">DeBruine, L. M.,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82">
        <w:r>
          <w:rPr>
            <w:rStyle w:val="Hyperlink"/>
          </w:rPr>
          <w:t xml:space="preserve">https://doi.org/10.6084/m9.figshare.5047666</w:t>
        </w:r>
      </w:hyperlink>
    </w:p>
    <w:bookmarkEnd w:id="83"/>
    <w:bookmarkStart w:id="85"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4">
        <w:r>
          <w:rPr>
            <w:rStyle w:val="Hyperlink"/>
          </w:rPr>
          <w:t xml:space="preserve">https://doi.org/10.1371/journal.pone.0032377</w:t>
        </w:r>
      </w:hyperlink>
    </w:p>
    <w:bookmarkEnd w:id="85"/>
    <w:bookmarkStart w:id="87" w:name="ref-hydeFutureSexGender2018"/>
    <w:p>
      <w:pPr>
        <w:pStyle w:val="Bibliography"/>
      </w:pPr>
      <w:r>
        <w:t xml:space="preserve">Hyde, J. S., Bigler, R. S., Joel, D., Tate, C. C., &amp; van Anders, S. M. (2018).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6">
        <w:r>
          <w:rPr>
            <w:rStyle w:val="Hyperlink"/>
          </w:rPr>
          <w:t xml:space="preserve">https://doi.org/10.1037/amp0000307</w:t>
        </w:r>
      </w:hyperlink>
    </w:p>
    <w:bookmarkEnd w:id="87"/>
    <w:bookmarkStart w:id="89" w:name="X056cbde670e420d0717663bf6c525212f80702b"/>
    <w:p>
      <w:pPr>
        <w:pStyle w:val="Bibliography"/>
      </w:pPr>
      <w:r>
        <w:t xml:space="preserve">Jung, K. H., White, K. R. G., &amp; Powanda, S. J. (2019). Automaticity of</w:t>
      </w:r>
      <w:r>
        <w:t xml:space="preserve"> </w:t>
      </w:r>
      <w:r>
        <w:t xml:space="preserve">Gender Categorization</w:t>
      </w:r>
      <w:r>
        <w:t xml:space="preserve">:</w:t>
      </w:r>
      <w:r>
        <w:t xml:space="preserve"> </w:t>
      </w:r>
      <w:r>
        <w:t xml:space="preserve">A Test</w:t>
      </w:r>
      <w:r>
        <w:t xml:space="preserve"> </w:t>
      </w:r>
      <w:r>
        <w:t xml:space="preserve">of the</w:t>
      </w:r>
      <w:r>
        <w:t xml:space="preserve"> </w:t>
      </w:r>
      <w:r>
        <w:t xml:space="preserve">Efficiency Feature</w:t>
      </w:r>
      <w:r>
        <w:t xml:space="preserv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8">
        <w:r>
          <w:rPr>
            <w:rStyle w:val="Hyperlink"/>
          </w:rPr>
          <w:t xml:space="preserve">https://doi.org/10.1521/soco.2019.37.2.122</w:t>
        </w:r>
      </w:hyperlink>
    </w:p>
    <w:bookmarkEnd w:id="89"/>
    <w:bookmarkStart w:id="91" w:name="ref-levittBeingTransgenderExperience2014"/>
    <w:p>
      <w:pPr>
        <w:pStyle w:val="Bibliography"/>
      </w:pPr>
      <w:r>
        <w:t xml:space="preserve">Levitt, H. M., &amp; Ippolito, M. R. (2014). Being</w:t>
      </w:r>
      <w:r>
        <w:t xml:space="preserve"> </w:t>
      </w:r>
      <w:r>
        <w:t xml:space="preserve">Transgender</w:t>
      </w:r>
      <w:r>
        <w:t xml:space="preserve">:</w:t>
      </w:r>
      <w:r>
        <w:t xml:space="preserve"> </w:t>
      </w:r>
      <w:r>
        <w:t xml:space="preserve">The Experience</w:t>
      </w:r>
      <w:r>
        <w:t xml:space="preserve"> </w:t>
      </w:r>
      <w:r>
        <w:t xml:space="preserve">of</w:t>
      </w:r>
      <w:r>
        <w:t xml:space="preserve"> </w:t>
      </w:r>
      <w:r>
        <w:t xml:space="preserve">Transgender Identity Development</w:t>
      </w:r>
      <w:r>
        <w:t xml:space="preserve">.</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0">
        <w:r>
          <w:rPr>
            <w:rStyle w:val="Hyperlink"/>
          </w:rPr>
          <w:t xml:space="preserve">https://doi.org/10.1080/00918369.2014.951262</w:t>
        </w:r>
      </w:hyperlink>
    </w:p>
    <w:bookmarkEnd w:id="91"/>
    <w:bookmarkStart w:id="93"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2">
        <w:r>
          <w:rPr>
            <w:rStyle w:val="Hyperlink"/>
          </w:rPr>
          <w:t xml:space="preserve">https://doi.org/10.1080/19419899.2020.1729844</w:t>
        </w:r>
      </w:hyperlink>
    </w:p>
    <w:bookmarkEnd w:id="93"/>
    <w:bookmarkStart w:id="95"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94">
        <w:r>
          <w:rPr>
            <w:rStyle w:val="Hyperlink"/>
          </w:rPr>
          <w:t xml:space="preserve">https://doi.org/10.1348/000712602761381349</w:t>
        </w:r>
      </w:hyperlink>
    </w:p>
    <w:bookmarkEnd w:id="95"/>
    <w:bookmarkStart w:id="97"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6">
        <w:r>
          <w:rPr>
            <w:rStyle w:val="Hyperlink"/>
          </w:rPr>
          <w:t xml:space="preserve">https://doi.org/10.3758/s13428-014-0532-5</w:t>
        </w:r>
      </w:hyperlink>
    </w:p>
    <w:bookmarkEnd w:id="97"/>
    <w:bookmarkStart w:id="99"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8">
        <w:r>
          <w:rPr>
            <w:rStyle w:val="Hyperlink"/>
          </w:rPr>
          <w:t xml:space="preserve">https://doi.org/10.1080/15532739.2018.1538841</w:t>
        </w:r>
      </w:hyperlink>
    </w:p>
    <w:bookmarkEnd w:id="99"/>
    <w:bookmarkStart w:id="101" w:name="ref-morgenrothGenderTroubleSocial2018"/>
    <w:p>
      <w:pPr>
        <w:pStyle w:val="Bibliography"/>
      </w:pPr>
      <w:r>
        <w:t xml:space="preserve">Morgenroth, T., &amp; Ryan, M. K. (2018). Gender</w:t>
      </w:r>
      <w:r>
        <w:t xml:space="preserve"> </w:t>
      </w:r>
      <w:r>
        <w:t xml:space="preserve">Trouble</w:t>
      </w:r>
      <w:r>
        <w:t xml:space="preserve"> </w:t>
      </w:r>
      <w:r>
        <w:t xml:space="preserve">in</w:t>
      </w:r>
      <w:r>
        <w:t xml:space="preserve"> </w:t>
      </w:r>
      <w:r>
        <w:t xml:space="preserve">Social Psychology</w:t>
      </w:r>
      <w:r>
        <w:t xml:space="preserve">:</w:t>
      </w:r>
      <w:r>
        <w:t xml:space="preserve"> </w:t>
      </w:r>
      <w:r>
        <w:t xml:space="preserve">How Can Butler</w:t>
      </w:r>
      <w:r>
        <w:t xml:space="preserve">’s</w:t>
      </w:r>
      <w:r>
        <w:t xml:space="preserve"> </w:t>
      </w:r>
      <w:r>
        <w:t xml:space="preserve">Work Inform Experimental Social Psychologists</w:t>
      </w:r>
      <w:r>
        <w:t xml:space="preserve">’</w:t>
      </w:r>
      <w:r>
        <w:t xml:space="preserve"> </w:t>
      </w:r>
      <w:r>
        <w:t xml:space="preserve">Conceptualization</w:t>
      </w:r>
      <w:r>
        <w:t xml:space="preserve"> </w:t>
      </w:r>
      <w:r>
        <w:t xml:space="preserve">of</w:t>
      </w:r>
      <w:r>
        <w:t xml:space="preserve"> </w:t>
      </w:r>
      <w:r>
        <w:t xml:space="preserve">Gender</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0">
        <w:r>
          <w:rPr>
            <w:rStyle w:val="Hyperlink"/>
          </w:rPr>
          <w:t xml:space="preserve">https://doi.org/10.3389/fpsyg.2018.01320</w:t>
        </w:r>
      </w:hyperlink>
    </w:p>
    <w:bookmarkEnd w:id="101"/>
    <w:bookmarkStart w:id="103" w:name="X4d66bb5b15dd45811fce1a5535a54e60057fba8"/>
    <w:p>
      <w:pPr>
        <w:pStyle w:val="Bibliography"/>
      </w:pPr>
      <w:r>
        <w:t xml:space="preserve">Nichols, A. L., &amp; Maner, J. K. (2008). The</w:t>
      </w:r>
      <w:r>
        <w:t xml:space="preserve"> </w:t>
      </w:r>
      <w:r>
        <w:t xml:space="preserve">Good-Subject Effect</w:t>
      </w:r>
      <w:r>
        <w:t xml:space="preserve">:</w:t>
      </w:r>
      <w:r>
        <w:t xml:space="preserve"> </w:t>
      </w:r>
      <w:r>
        <w:t xml:space="preserve">Investigating Participant Demand Characteristics</w:t>
      </w:r>
      <w:r>
        <w:t xml:space="preserve">.</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102">
        <w:r>
          <w:rPr>
            <w:rStyle w:val="Hyperlink"/>
          </w:rPr>
          <w:t xml:space="preserve">https://doi.org/10.3200/GENP.135.2.151-166</w:t>
        </w:r>
      </w:hyperlink>
    </w:p>
    <w:bookmarkEnd w:id="103"/>
    <w:bookmarkStart w:id="105"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04">
        <w:r>
          <w:rPr>
            <w:rStyle w:val="Hyperlink"/>
          </w:rPr>
          <w:t xml:space="preserve">https://doi.org/10.3758/BF03211378</w:t>
        </w:r>
      </w:hyperlink>
    </w:p>
    <w:bookmarkEnd w:id="105"/>
    <w:bookmarkStart w:id="107"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6">
        <w:r>
          <w:rPr>
            <w:rStyle w:val="Hyperlink"/>
          </w:rPr>
          <w:t xml:space="preserve">https://www.R-project.org/</w:t>
        </w:r>
      </w:hyperlink>
    </w:p>
    <w:bookmarkEnd w:id="107"/>
    <w:bookmarkStart w:id="108"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8"/>
    <w:bookmarkStart w:id="110"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09">
        <w:r>
          <w:rPr>
            <w:rStyle w:val="Hyperlink"/>
          </w:rPr>
          <w:t xml:space="preserve">https://doi.org/10.1332/251510820X15995647280686</w:t>
        </w:r>
      </w:hyperlink>
    </w:p>
    <w:bookmarkEnd w:id="110"/>
    <w:bookmarkStart w:id="112"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11">
        <w:r>
          <w:rPr>
            <w:rStyle w:val="Hyperlink"/>
          </w:rPr>
          <w:t xml:space="preserve">https://doi.org/10.1080/23273798.2015.1072638</w:t>
        </w:r>
      </w:hyperlink>
    </w:p>
    <w:bookmarkEnd w:id="112"/>
    <w:bookmarkStart w:id="114" w:name="ref-stolierNeuralMechanismSocial2017"/>
    <w:p>
      <w:pPr>
        <w:pStyle w:val="Bibliography"/>
      </w:pPr>
      <w:r>
        <w:t xml:space="preserve">Stolier, R. M., &amp; Freeman, J. B. (2017). A</w:t>
      </w:r>
      <w:r>
        <w:t xml:space="preserve"> </w:t>
      </w:r>
      <w:r>
        <w:t xml:space="preserve">Neural Mechanism</w:t>
      </w:r>
      <w:r>
        <w:t xml:space="preserve"> </w:t>
      </w:r>
      <w:r>
        <w:t xml:space="preserve">of</w:t>
      </w:r>
      <w:r>
        <w:t xml:space="preserve"> </w:t>
      </w:r>
      <w:r>
        <w:t xml:space="preserve">Social Categorization</w:t>
      </w:r>
      <w:r>
        <w:t xml:space="preserve">.</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3">
        <w:r>
          <w:rPr>
            <w:rStyle w:val="Hyperlink"/>
          </w:rPr>
          <w:t xml:space="preserve">https://doi.org/10.1523/JNEUROSCI.3334-16.2017</w:t>
        </w:r>
      </w:hyperlink>
    </w:p>
    <w:bookmarkEnd w:id="114"/>
    <w:bookmarkStart w:id="116"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5">
        <w:r>
          <w:rPr>
            <w:rStyle w:val="Hyperlink"/>
          </w:rPr>
          <w:t xml:space="preserve">https://doi.org/10.21105/joss.01686</w:t>
        </w:r>
      </w:hyperlink>
    </w:p>
    <w:bookmarkEnd w:id="116"/>
    <w:bookmarkEnd w:id="117"/>
    <w:bookmarkStart w:id="121"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19" name="Picture"/>
            <a:graphic>
              <a:graphicData uri="http://schemas.openxmlformats.org/drawingml/2006/picture">
                <pic:pic>
                  <pic:nvPicPr>
                    <pic:cNvPr descr="pix/stimuli.jpeg" id="120" name="Picture"/>
                    <pic:cNvPicPr>
                      <a:picLocks noChangeArrowheads="1" noChangeAspect="1"/>
                    </pic:cNvPicPr>
                  </pic:nvPicPr>
                  <pic:blipFill>
                    <a:blip r:embed="rId118"/>
                    <a:stretch>
                      <a:fillRect/>
                    </a:stretch>
                  </pic:blipFill>
                  <pic:spPr bwMode="auto">
                    <a:xfrm>
                      <a:off x="0" y="0"/>
                      <a:ext cx="5943600" cy="1306474"/>
                    </a:xfrm>
                    <a:prstGeom prst="rect">
                      <a:avLst/>
                    </a:prstGeom>
                    <a:noFill/>
                    <a:ln w="9525">
                      <a:noFill/>
                      <a:headEnd/>
                      <a:tailEnd/>
                    </a:ln>
                  </pic:spPr>
                </pic:pic>
              </a:graphicData>
            </a:graphic>
          </wp:inline>
        </w:drawing>
      </w:r>
    </w:p>
    <w:bookmarkEnd w:id="121"/>
    <w:p>
      <w:r>
        <w:br w:type="page"/>
      </w:r>
    </w:p>
    <w:bookmarkStart w:id="125"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2795636"/>
            <wp:effectExtent b="0" l="0" r="0" t="0"/>
            <wp:docPr descr="" title="" id="123" name="Picture"/>
            <a:graphic>
              <a:graphicData uri="http://schemas.openxmlformats.org/drawingml/2006/picture">
                <pic:pic>
                  <pic:nvPicPr>
                    <pic:cNvPr descr="pix/exp2.png" id="124" name="Picture"/>
                    <pic:cNvPicPr>
                      <a:picLocks noChangeArrowheads="1" noChangeAspect="1"/>
                    </pic:cNvPicPr>
                  </pic:nvPicPr>
                  <pic:blipFill>
                    <a:blip r:embed="rId122"/>
                    <a:stretch>
                      <a:fillRect/>
                    </a:stretch>
                  </pic:blipFill>
                  <pic:spPr bwMode="auto">
                    <a:xfrm>
                      <a:off x="0" y="0"/>
                      <a:ext cx="5943600" cy="2795636"/>
                    </a:xfrm>
                    <a:prstGeom prst="rect">
                      <a:avLst/>
                    </a:prstGeom>
                    <a:noFill/>
                    <a:ln w="9525">
                      <a:noFill/>
                      <a:headEnd/>
                      <a:tailEnd/>
                    </a:ln>
                  </pic:spPr>
                </pic:pic>
              </a:graphicData>
            </a:graphic>
          </wp:inline>
        </w:drawing>
      </w:r>
    </w:p>
    <w:bookmarkEnd w:id="125"/>
    <w:p>
      <w:r>
        <w:br w:type="page"/>
      </w:r>
    </w:p>
    <w:bookmarkStart w:id="129"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27" name="Picture"/>
            <a:graphic>
              <a:graphicData uri="http://schemas.openxmlformats.org/drawingml/2006/picture">
                <pic:pic>
                  <pic:nvPicPr>
                    <pic:cNvPr descr="quarto_test_files/figure-docx/fig-desc-two-1.png" id="128" name="Picture"/>
                    <pic:cNvPicPr>
                      <a:picLocks noChangeArrowheads="1" noChangeAspect="1"/>
                    </pic:cNvPicPr>
                  </pic:nvPicPr>
                  <pic:blipFill>
                    <a:blip r:embed="rId126"/>
                    <a:stretch>
                      <a:fillRect/>
                    </a:stretch>
                  </pic:blipFill>
                  <pic:spPr bwMode="auto">
                    <a:xfrm>
                      <a:off x="0" y="0"/>
                      <a:ext cx="5943600" cy="5943600"/>
                    </a:xfrm>
                    <a:prstGeom prst="rect">
                      <a:avLst/>
                    </a:prstGeom>
                    <a:noFill/>
                    <a:ln w="9525">
                      <a:noFill/>
                      <a:headEnd/>
                      <a:tailEnd/>
                    </a:ln>
                  </pic:spPr>
                </pic:pic>
              </a:graphicData>
            </a:graphic>
          </wp:inline>
        </w:drawing>
      </w:r>
    </w:p>
    <w:bookmarkEnd w:id="129"/>
    <w:p>
      <w:r>
        <w:br w:type="page"/>
      </w:r>
    </w:p>
    <w:bookmarkStart w:id="133"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31" name="Picture"/>
            <a:graphic>
              <a:graphicData uri="http://schemas.openxmlformats.org/drawingml/2006/picture">
                <pic:pic>
                  <pic:nvPicPr>
                    <pic:cNvPr descr="pix/exp1.png" id="132" name="Picture"/>
                    <pic:cNvPicPr>
                      <a:picLocks noChangeArrowheads="1" noChangeAspect="1"/>
                    </pic:cNvPicPr>
                  </pic:nvPicPr>
                  <pic:blipFill>
                    <a:blip r:embed="rId130"/>
                    <a:stretch>
                      <a:fillRect/>
                    </a:stretch>
                  </pic:blipFill>
                  <pic:spPr bwMode="auto">
                    <a:xfrm>
                      <a:off x="0" y="0"/>
                      <a:ext cx="5943600" cy="1966805"/>
                    </a:xfrm>
                    <a:prstGeom prst="rect">
                      <a:avLst/>
                    </a:prstGeom>
                    <a:noFill/>
                    <a:ln w="9525">
                      <a:noFill/>
                      <a:headEnd/>
                      <a:tailEnd/>
                    </a:ln>
                  </pic:spPr>
                </pic:pic>
              </a:graphicData>
            </a:graphic>
          </wp:inline>
        </w:drawing>
      </w:r>
    </w:p>
    <w:bookmarkEnd w:id="133"/>
    <w:p>
      <w:r>
        <w:br w:type="page"/>
      </w:r>
    </w:p>
    <w:bookmarkStart w:id="137"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35" name="Picture"/>
            <a:graphic>
              <a:graphicData uri="http://schemas.openxmlformats.org/drawingml/2006/picture">
                <pic:pic>
                  <pic:nvPicPr>
                    <pic:cNvPr descr="quarto_test_files/figure-docx/fig-desc-1-1.png" id="136" name="Picture"/>
                    <pic:cNvPicPr>
                      <a:picLocks noChangeArrowheads="1" noChangeAspect="1"/>
                    </pic:cNvPicPr>
                  </pic:nvPicPr>
                  <pic:blipFill>
                    <a:blip r:embed="rId134"/>
                    <a:stretch>
                      <a:fillRect/>
                    </a:stretch>
                  </pic:blipFill>
                  <pic:spPr bwMode="auto">
                    <a:xfrm>
                      <a:off x="0" y="0"/>
                      <a:ext cx="5943600" cy="5943600"/>
                    </a:xfrm>
                    <a:prstGeom prst="rect">
                      <a:avLst/>
                    </a:prstGeom>
                    <a:noFill/>
                    <a:ln w="9525">
                      <a:noFill/>
                      <a:headEnd/>
                      <a:tailEnd/>
                    </a:ln>
                  </pic:spPr>
                </pic:pic>
              </a:graphicData>
            </a:graphic>
          </wp:inline>
        </w:drawing>
      </w:r>
    </w:p>
    <w:bookmarkEnd w:id="137"/>
    <w:p>
      <w:r>
        <w:br w:type="page"/>
      </w:r>
    </w:p>
    <w:bookmarkStart w:id="141"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39" name="Picture"/>
            <a:graphic>
              <a:graphicData uri="http://schemas.openxmlformats.org/drawingml/2006/picture">
                <pic:pic>
                  <pic:nvPicPr>
                    <pic:cNvPr descr="quarto_test_files/figure-docx/fig-desc-nbo-1.png" id="140" name="Picture"/>
                    <pic:cNvPicPr>
                      <a:picLocks noChangeArrowheads="1" noChangeAspect="1"/>
                    </pic:cNvPicPr>
                  </pic:nvPicPr>
                  <pic:blipFill>
                    <a:blip r:embed="rId138"/>
                    <a:stretch>
                      <a:fillRect/>
                    </a:stretch>
                  </pic:blipFill>
                  <pic:spPr bwMode="auto">
                    <a:xfrm>
                      <a:off x="0" y="0"/>
                      <a:ext cx="5544151" cy="4158113"/>
                    </a:xfrm>
                    <a:prstGeom prst="rect">
                      <a:avLst/>
                    </a:prstGeom>
                    <a:noFill/>
                    <a:ln w="9525">
                      <a:noFill/>
                      <a:headEnd/>
                      <a:tailEnd/>
                    </a:ln>
                  </pic:spPr>
                </pic:pic>
              </a:graphicData>
            </a:graphic>
          </wp:inline>
        </w:drawing>
      </w:r>
    </w:p>
    <w:bookmarkEnd w:id="141"/>
    <w:p>
      <w:r>
        <w:br w:type="page"/>
      </w:r>
    </w:p>
    <w:bookmarkStart w:id="145"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43" name="Picture"/>
            <a:graphic>
              <a:graphicData uri="http://schemas.openxmlformats.org/drawingml/2006/picture">
                <pic:pic>
                  <pic:nvPicPr>
                    <pic:cNvPr descr="quarto_test_files/figure-docx/fig-cond-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Start w:id="149" w:name="fig-wtf"/>
    <w:p>
      <w:pPr>
        <w:pStyle w:val="FigureTitle"/>
      </w:pPr>
      <w:r>
        <w:t xml:space="preserve">Figure 8</w:t>
      </w:r>
    </w:p>
    <w:p>
      <w:pPr>
        <w:pStyle w:val="Caption"/>
      </w:pPr>
      <w:r>
        <w:t xml:space="preserve">Distribution of Participant Proportions for Categorizing Faces as Women Across Three Conditions</w:t>
      </w:r>
    </w:p>
    <w:p>
      <w:pPr>
        <w:pStyle w:val="FigureWithoutNote"/>
      </w:pPr>
      <w:r>
        <w:drawing>
          <wp:inline>
            <wp:extent cx="5943600" cy="5943600"/>
            <wp:effectExtent b="0" l="0" r="0" t="0"/>
            <wp:docPr descr="" title="" id="147" name="Picture"/>
            <a:graphic>
              <a:graphicData uri="http://schemas.openxmlformats.org/drawingml/2006/picture">
                <pic:pic>
                  <pic:nvPicPr>
                    <pic:cNvPr descr="quarto_test_files/figure-docx/fig-wtf-1.png" id="148" name="Picture"/>
                    <pic:cNvPicPr>
                      <a:picLocks noChangeArrowheads="1" noChangeAspect="1"/>
                    </pic:cNvPicPr>
                  </pic:nvPicPr>
                  <pic:blipFill>
                    <a:blip r:embed="rId146"/>
                    <a:stretch>
                      <a:fillRect/>
                    </a:stretch>
                  </pic:blipFill>
                  <pic:spPr bwMode="auto">
                    <a:xfrm>
                      <a:off x="0" y="0"/>
                      <a:ext cx="5943600" cy="5943600"/>
                    </a:xfrm>
                    <a:prstGeom prst="rect">
                      <a:avLst/>
                    </a:prstGeom>
                    <a:noFill/>
                    <a:ln w="9525">
                      <a:noFill/>
                      <a:headEnd/>
                      <a:tailEnd/>
                    </a:ln>
                  </pic:spPr>
                </pic:pic>
              </a:graphicData>
            </a:graphic>
          </wp:inline>
        </w:drawing>
      </w:r>
    </w:p>
    <w:bookmarkEnd w:id="149"/>
    <w:p>
      <w:r>
        <w:br w:type="page"/>
      </w:r>
    </w:p>
    <w:bookmarkEnd w:id="150"/>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0" Target="media/rId130.png" /><Relationship Type="http://schemas.openxmlformats.org/officeDocument/2006/relationships/image" Id="rId122" Target="media/rId122.png" /><Relationship Type="http://schemas.openxmlformats.org/officeDocument/2006/relationships/image" Id="rId118" Target="media/rId118.jpg"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126" Target="media/rId126.png" /><Relationship Type="http://schemas.openxmlformats.org/officeDocument/2006/relationships/image" Id="rId146" Target="media/rId146.png" /><Relationship Type="http://schemas.openxmlformats.org/officeDocument/2006/relationships/hyperlink" Id="rId86"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71" Target="https://doi.org/10.1080/13506280042000072" TargetMode="External" /><Relationship Type="http://schemas.openxmlformats.org/officeDocument/2006/relationships/hyperlink" Id="rId98" Target="https://doi.org/10.1080/15532739.2018.1538841" TargetMode="External" /><Relationship Type="http://schemas.openxmlformats.org/officeDocument/2006/relationships/hyperlink" Id="rId92" Target="https://doi.org/10.1080/19419899.2020.1729844" TargetMode="External" /><Relationship Type="http://schemas.openxmlformats.org/officeDocument/2006/relationships/hyperlink" Id="rId111" Target="https://doi.org/10.1080/23273798.2015.1072638" TargetMode="External" /><Relationship Type="http://schemas.openxmlformats.org/officeDocument/2006/relationships/hyperlink" Id="rId73" Target="https://doi.org/10.1080/713756676" TargetMode="External" /><Relationship Type="http://schemas.openxmlformats.org/officeDocument/2006/relationships/hyperlink" Id="rId79" Target="https://doi.org/10.1177/02750740221086605" TargetMode="External" /><Relationship Type="http://schemas.openxmlformats.org/officeDocument/2006/relationships/hyperlink" Id="rId59" Target="https://doi.org/10.1177/0959353514526217" TargetMode="External" /><Relationship Type="http://schemas.openxmlformats.org/officeDocument/2006/relationships/hyperlink" Id="rId75" Target="https://doi.org/10.1186/s40359-022-00989-0" TargetMode="External" /><Relationship Type="http://schemas.openxmlformats.org/officeDocument/2006/relationships/hyperlink" Id="rId109" Target="https://doi.org/10.1332/251510820X15995647280686" TargetMode="External" /><Relationship Type="http://schemas.openxmlformats.org/officeDocument/2006/relationships/hyperlink" Id="rId94" Target="https://doi.org/10.1348/000712602761381349" TargetMode="External" /><Relationship Type="http://schemas.openxmlformats.org/officeDocument/2006/relationships/hyperlink" Id="rId84" Target="https://doi.org/10.1371/journal.pone.0032377" TargetMode="External" /><Relationship Type="http://schemas.openxmlformats.org/officeDocument/2006/relationships/hyperlink" Id="rId77"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3" Target="https://doi.org/10.1523/JNEUROSCI.3334-16.2017" TargetMode="External" /><Relationship Type="http://schemas.openxmlformats.org/officeDocument/2006/relationships/hyperlink" Id="rId64" Target="https://doi.org/10.18637/jss.v080.i01" TargetMode="External" /><Relationship Type="http://schemas.openxmlformats.org/officeDocument/2006/relationships/hyperlink" Id="rId68" Target="https://doi.org/10.18637/jss.v100.i05" TargetMode="External" /><Relationship Type="http://schemas.openxmlformats.org/officeDocument/2006/relationships/hyperlink" Id="rId115" Target="https://doi.org/10.21105/joss.01686" TargetMode="External" /><Relationship Type="http://schemas.openxmlformats.org/officeDocument/2006/relationships/hyperlink" Id="rId102" Target="https://doi.org/10.3200/GENP.135.2.151-166" TargetMode="External" /><Relationship Type="http://schemas.openxmlformats.org/officeDocument/2006/relationships/hyperlink" Id="rId66" Target="https://doi.org/10.32614/RJ-2018-017" TargetMode="External" /><Relationship Type="http://schemas.openxmlformats.org/officeDocument/2006/relationships/hyperlink" Id="rId100" Target="https://doi.org/10.3389/fpsyg.2018.01320" TargetMode="External" /><Relationship Type="http://schemas.openxmlformats.org/officeDocument/2006/relationships/hyperlink" Id="rId104" Target="https://doi.org/10.3758/BF03211378" TargetMode="External" /><Relationship Type="http://schemas.openxmlformats.org/officeDocument/2006/relationships/hyperlink" Id="rId96" Target="https://doi.org/10.3758/s13428-014-0532-5" TargetMode="External" /><Relationship Type="http://schemas.openxmlformats.org/officeDocument/2006/relationships/hyperlink" Id="rId82" Target="https://doi.org/10.6084/m9.figshare.5047666" TargetMode="External" /><Relationship Type="http://schemas.openxmlformats.org/officeDocument/2006/relationships/hyperlink" Id="rId61" Target="https://github.com/crsh/papaja" TargetMode="External" /><Relationship Type="http://schemas.openxmlformats.org/officeDocument/2006/relationships/hyperlink" Id="rId10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71" Target="https://doi.org/10.1080/13506280042000072" TargetMode="External" /><Relationship Type="http://schemas.openxmlformats.org/officeDocument/2006/relationships/hyperlink" Id="rId98" Target="https://doi.org/10.1080/15532739.2018.1538841" TargetMode="External" /><Relationship Type="http://schemas.openxmlformats.org/officeDocument/2006/relationships/hyperlink" Id="rId92" Target="https://doi.org/10.1080/19419899.2020.1729844" TargetMode="External" /><Relationship Type="http://schemas.openxmlformats.org/officeDocument/2006/relationships/hyperlink" Id="rId111" Target="https://doi.org/10.1080/23273798.2015.1072638" TargetMode="External" /><Relationship Type="http://schemas.openxmlformats.org/officeDocument/2006/relationships/hyperlink" Id="rId73" Target="https://doi.org/10.1080/713756676" TargetMode="External" /><Relationship Type="http://schemas.openxmlformats.org/officeDocument/2006/relationships/hyperlink" Id="rId79" Target="https://doi.org/10.1177/02750740221086605" TargetMode="External" /><Relationship Type="http://schemas.openxmlformats.org/officeDocument/2006/relationships/hyperlink" Id="rId59" Target="https://doi.org/10.1177/0959353514526217" TargetMode="External" /><Relationship Type="http://schemas.openxmlformats.org/officeDocument/2006/relationships/hyperlink" Id="rId75" Target="https://doi.org/10.1186/s40359-022-00989-0" TargetMode="External" /><Relationship Type="http://schemas.openxmlformats.org/officeDocument/2006/relationships/hyperlink" Id="rId109" Target="https://doi.org/10.1332/251510820X15995647280686" TargetMode="External" /><Relationship Type="http://schemas.openxmlformats.org/officeDocument/2006/relationships/hyperlink" Id="rId94" Target="https://doi.org/10.1348/000712602761381349" TargetMode="External" /><Relationship Type="http://schemas.openxmlformats.org/officeDocument/2006/relationships/hyperlink" Id="rId84" Target="https://doi.org/10.1371/journal.pone.0032377" TargetMode="External" /><Relationship Type="http://schemas.openxmlformats.org/officeDocument/2006/relationships/hyperlink" Id="rId77"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3" Target="https://doi.org/10.1523/JNEUROSCI.3334-16.2017" TargetMode="External" /><Relationship Type="http://schemas.openxmlformats.org/officeDocument/2006/relationships/hyperlink" Id="rId64" Target="https://doi.org/10.18637/jss.v080.i01" TargetMode="External" /><Relationship Type="http://schemas.openxmlformats.org/officeDocument/2006/relationships/hyperlink" Id="rId68" Target="https://doi.org/10.18637/jss.v100.i05" TargetMode="External" /><Relationship Type="http://schemas.openxmlformats.org/officeDocument/2006/relationships/hyperlink" Id="rId115" Target="https://doi.org/10.21105/joss.01686" TargetMode="External" /><Relationship Type="http://schemas.openxmlformats.org/officeDocument/2006/relationships/hyperlink" Id="rId102" Target="https://doi.org/10.3200/GENP.135.2.151-166" TargetMode="External" /><Relationship Type="http://schemas.openxmlformats.org/officeDocument/2006/relationships/hyperlink" Id="rId66" Target="https://doi.org/10.32614/RJ-2018-017" TargetMode="External" /><Relationship Type="http://schemas.openxmlformats.org/officeDocument/2006/relationships/hyperlink" Id="rId100" Target="https://doi.org/10.3389/fpsyg.2018.01320" TargetMode="External" /><Relationship Type="http://schemas.openxmlformats.org/officeDocument/2006/relationships/hyperlink" Id="rId104" Target="https://doi.org/10.3758/BF03211378" TargetMode="External" /><Relationship Type="http://schemas.openxmlformats.org/officeDocument/2006/relationships/hyperlink" Id="rId96" Target="https://doi.org/10.3758/s13428-014-0532-5" TargetMode="External" /><Relationship Type="http://schemas.openxmlformats.org/officeDocument/2006/relationships/hyperlink" Id="rId82" Target="https://doi.org/10.6084/m9.figshare.5047666" TargetMode="External" /><Relationship Type="http://schemas.openxmlformats.org/officeDocument/2006/relationships/hyperlink" Id="rId61" Target="https://github.com/crsh/papaja" TargetMode="External" /><Relationship Type="http://schemas.openxmlformats.org/officeDocument/2006/relationships/hyperlink" Id="rId10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IMPACT OF RESPONSE OPTIONS ON GENDER CATEGORIZATION OF FACES</dc:description>
  <cp:keywords/>
  <dcterms:created xsi:type="dcterms:W3CDTF">2024-04-24T14:42:28Z</dcterms:created>
  <dcterms:modified xsi:type="dcterms:W3CDTF">2024-04-24T14:42:28Z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2024-04-24</vt:lpwstr>
  </property>
  <property fmtid="{D5CDD505-2E9C-101B-9397-08002B2CF9AE}" pid="7" name="apatitle">
    <vt:lpwstr>THE IMPACT OF RESPONSE OPTIONS ON GENDER CATEGORIZATION OF FACES</vt:lpwstr>
  </property>
  <property fmtid="{D5CDD505-2E9C-101B-9397-08002B2CF9AE}" pid="8" name="apatitledisplay">
    <vt:lpwstr>The Impact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