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5686B4BF"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7777777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 in which thermal conductivity </w:t>
      </w:r>
      <w:r>
        <w:t xml:space="preserve">tensor </w:t>
      </w:r>
      <w:r w:rsidRPr="001517BB">
        <w:t>is given by</w:t>
      </w:r>
    </w:p>
    <w:p w14:paraId="79664374" w14:textId="44F53F81"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C04027">
        <w:rPr>
          <w:noProof/>
          <w:sz w:val="22"/>
        </w:rPr>
        <w:t>1</w:t>
      </w:r>
      <w:r>
        <w:rPr>
          <w:sz w:val="22"/>
        </w:rPr>
        <w:fldChar w:fldCharType="end"/>
      </w:r>
      <w:r>
        <w:rPr>
          <w:sz w:val="22"/>
        </w:rPr>
        <w:t>)</w:t>
      </w:r>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6C6B89D2"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Fig. 1,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09FD807D" w14:textId="02BBBA05" w:rsidR="00B45437" w:rsidRDefault="00B45437"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1.5 </w:t>
      </w:r>
      <w:r>
        <w:rPr>
          <w:rFonts w:ascii="Times New Roman" w:hAnsi="Times New Roman" w:cs="Times New Roman" w:hint="eastAsia"/>
          <w:color w:val="000000" w:themeColor="text1"/>
        </w:rPr>
        <w:t>准一维结构的成键基础</w:t>
      </w:r>
    </w:p>
    <w:p w14:paraId="39C7DA73" w14:textId="1E7D8B0C"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FBE32A1" w14:textId="4363429B"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 xml:space="preserve">frozen phonon method.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Fig. 2a.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2469FD25" w14:textId="2FA4A780"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 are shown in Fig.3</w:t>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7344E679"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bookmarkStart w:id="0" w:name="aa"/>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C04027">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bookmarkEnd w:id="0"/>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lastRenderedPageBreak/>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47DA872" w14:textId="0E2364D1"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p>
    <w:p w14:paraId="7EDF4D56" w14:textId="60E5B338"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Fig. 4a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w:t>
      </w:r>
      <w:r>
        <w:rPr>
          <w:rFonts w:ascii="Times New Roman" w:hAnsi="Times New Roman" w:cs="Times New Roman"/>
          <w:color w:val="000000" w:themeColor="text1"/>
        </w:rPr>
        <w:t xml:space="preserve">. The TC shows its convergence at N=4, above witch the result changes a little but not the computational effort, so we choose the </w:t>
      </w:r>
      <w:r>
        <w:rPr>
          <w:rFonts w:ascii="Times New Roman" w:hAnsi="Times New Roman" w:cs="Times New Roman"/>
          <w:color w:val="000000" w:themeColor="text1"/>
        </w:rPr>
        <w:t>number of</w:t>
      </w:r>
      <w:r>
        <w:rPr>
          <w:rFonts w:ascii="Times New Roman" w:hAnsi="Times New Roman" w:cs="Times New Roman"/>
          <w:color w:val="000000" w:themeColor="text1"/>
        </w:rPr>
        <w:t xml:space="preserve">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w:t>
      </w:r>
      <w:r w:rsidR="00EF177D">
        <w:rPr>
          <w:rFonts w:ascii="Times New Roman" w:hAnsi="Times New Roman" w:cs="Times New Roman"/>
          <w:color w:val="000000" w:themeColor="text1"/>
        </w:rPr>
        <w:t xml:space="preserve"> is also tested as in Fig. 4b.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Fig. 4c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Fig. 4d,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 </w:t>
      </w:r>
    </w:p>
    <w:p w14:paraId="0355C37B" w14:textId="6210B0F0" w:rsidR="00EF177D" w:rsidRPr="00EF177D" w:rsidRDefault="00EF177D" w:rsidP="00EF177D">
      <w:pPr>
        <w:tabs>
          <w:tab w:val="left" w:pos="3544"/>
          <w:tab w:val="left" w:pos="7088"/>
        </w:tabs>
        <w:ind w:firstLineChars="288" w:firstLine="605"/>
        <w:jc w:val="left"/>
        <w:rPr>
          <w:rFonts w:ascii="Times New Roman" w:hAnsi="Times New Roman" w:cs="Times New Roman" w:hint="eastAsia"/>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82748C">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6C3A542E" w14:textId="01073F55" w:rsidR="00EF177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Fig. 4e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0E15420D" w14:textId="77F51CFD" w:rsidR="00B23A1F" w:rsidRDefault="00B23A1F"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4.5 </w:t>
      </w:r>
      <w:r w:rsidRPr="00B23A1F">
        <w:rPr>
          <w:rFonts w:ascii="Times New Roman" w:hAnsi="Times New Roman" w:cs="Times New Roman" w:hint="eastAsia"/>
          <w:color w:val="000000" w:themeColor="text1"/>
        </w:rPr>
        <w:t>热导率之低和各向异性</w:t>
      </w:r>
    </w:p>
    <w:p w14:paraId="11660974" w14:textId="59B2A77A" w:rsidR="008558B2" w:rsidRPr="00EF177D" w:rsidRDefault="008558B2" w:rsidP="0082748C">
      <w:pPr>
        <w:jc w:val="left"/>
        <w:rPr>
          <w:rFonts w:ascii="Times New Roman" w:hAnsi="Times New Roman" w:cs="Times New Roman" w:hint="eastAsia"/>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Fig. </w:t>
      </w:r>
      <w:r>
        <w:rPr>
          <w:rFonts w:ascii="Times New Roman" w:hAnsi="Times New Roman" w:cs="Times New Roman"/>
          <w:color w:val="000000" w:themeColor="text1"/>
        </w:rPr>
        <w:t xml:space="preserve">5. The TC values decreases with increasing temperature and obeys the rule of </w:t>
      </w:r>
      <m:oMath>
        <m:r>
          <w:rPr>
            <w:rFonts w:ascii="Cambria Math" w:hAnsi="Cambria Math" w:cs="Times New Roman"/>
            <w:color w:val="000000" w:themeColor="text1"/>
          </w:rPr>
          <m:t>κ</m:t>
        </m:r>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E5E8163" w14:textId="022C7B0E"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646BBE77" w14:textId="5756B2E7"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w:t>
      </w:r>
      <w:bookmarkStart w:id="1" w:name="_GoBack"/>
      <w:bookmarkEnd w:id="1"/>
      <w:r w:rsidRPr="00C07B53">
        <w:rPr>
          <w:rFonts w:ascii="Times New Roman" w:hAnsi="Times New Roman" w:cs="Times New Roman"/>
          <w:color w:val="000000" w:themeColor="text1"/>
        </w:rPr>
        <w:t>-mode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"&lt;sup&gt;7&lt;/sup&gt;"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7DB34A76"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82748C">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4666028D"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3C2D8A">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"&lt;sup&gt;8&lt;/sup&gt;"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4×4×1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31×31×1</m:t>
        </m:r>
      </m:oMath>
      <w:r w:rsidR="003C2D8A" w:rsidRPr="00C07B53">
        <w:rPr>
          <w:rFonts w:ascii="Times New Roman" w:hAnsi="Times New Roman" w:cs="Times New Roman"/>
          <w:color w:val="000000" w:themeColor="text1"/>
        </w:rPr>
        <w:t xml:space="preserve"> mesh sampling. Fig. 4 shows the participation ratio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 xml:space="preserve">. A reduction of p-ratio </w:t>
      </w:r>
      <w:r w:rsidR="003C2D8A" w:rsidRPr="00C07B53">
        <w:rPr>
          <w:rFonts w:ascii="Times New Roman" w:hAnsi="Times New Roman" w:cs="Times New Roman"/>
          <w:color w:val="000000" w:themeColor="text1"/>
        </w:rPr>
        <w:lastRenderedPageBreak/>
        <w:t xml:space="preserve">for both low frequency phonons and high frequency phonons comes out compared with graphene. Most of the eigen-modes in regular </w:t>
      </w:r>
      <m:oMath>
        <m:r>
          <m:rPr>
            <m:sty m:val="p"/>
          </m:rPr>
          <w:rPr>
            <w:rFonts w:ascii="Cambria Math" w:hAnsi="Cambria Math" w:cs="Times New Roman"/>
            <w:color w:val="000000" w:themeColor="text1"/>
          </w:rPr>
          <m:t>graphene</m:t>
        </m:r>
      </m:oMath>
      <w:r w:rsidR="003C2D8A" w:rsidRPr="00C07B53">
        <w:rPr>
          <w:rFonts w:ascii="Times New Roman" w:hAnsi="Times New Roman" w:cs="Times New Roman"/>
          <w:color w:val="000000" w:themeColor="text1"/>
        </w:rPr>
        <w:t xml:space="preserve"> have p-ratio over 0.98, showing characteristic of delocalized mode, while some of the eigen-modes of the others showing a characteristic of localized mode. The average participation ratio are 1.00, 0.80, 0.86 and 0.95 respectively, which obeys the same trends as the thermal conductivity</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graphene</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CN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sub>
        </m:sSub>
      </m:oMath>
      <w:r w:rsidR="003C2D8A" w:rsidRPr="00C07B53">
        <w:rPr>
          <w:rFonts w:ascii="Times New Roman" w:hAnsi="Times New Roman" w:cs="Times New Roman"/>
          <w:color w:val="000000" w:themeColor="text1"/>
        </w:rPr>
        <w:t>.</w:t>
      </w:r>
    </w:p>
    <w:p w14:paraId="7F797BDC" w14:textId="77777777" w:rsidR="00B45437" w:rsidRPr="00B45437" w:rsidRDefault="00B45437" w:rsidP="00CF03CC">
      <w:pPr>
        <w:ind w:firstLineChars="288" w:firstLine="605"/>
        <w:jc w:val="left"/>
        <w:rPr>
          <w:rFonts w:ascii="Times New Roman" w:hAnsi="Times New Roman" w:cs="Times New Roman"/>
          <w:color w:val="000000" w:themeColor="text1"/>
        </w:rPr>
      </w:pPr>
    </w:p>
    <w:p w14:paraId="1E5395D3" w14:textId="5AC45BE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sidR="00B45437">
        <w:rPr>
          <w:rFonts w:ascii="Times New Roman" w:hAnsi="Times New Roman" w:cs="Times New Roman" w:hint="eastAsia"/>
          <w:color w:val="000000" w:themeColor="text1"/>
        </w:rPr>
        <w:t>热导的非谐分析</w:t>
      </w: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28BD8BFC" w14:textId="279AB4B4" w:rsidR="00CF463A" w:rsidRPr="00C07B53" w:rsidRDefault="00CF463A" w:rsidP="00CF463A">
      <w:pPr>
        <w:ind w:firstLine="420"/>
        <w:rPr>
          <w:rFonts w:ascii="Times New Roman" w:hAnsi="Times New Roman" w:cs="Times New Roman"/>
          <w:color w:val="000000" w:themeColor="text1"/>
        </w:rPr>
      </w:pP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2E8A8C7C" w14:textId="7AE23393" w:rsidR="00107873" w:rsidRDefault="00BC38C5" w:rsidP="00B45437">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w:r w:rsidR="00D106B4" w:rsidRPr="00C07B53">
        <w:rPr>
          <w:rFonts w:ascii="Times New Roman" w:hAnsi="Times New Roman" w:cs="Times New Roman"/>
          <w:color w:val="000000" w:themeColor="text1"/>
        </w:rPr>
        <w:t xml:space="preserve">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52E5C82A"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8"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9"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we define a quantity named disorder degree and found thermal conductivity depends on it linearly, which is valuable for thermal 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7B1F833C" w14:textId="25CC5640" w:rsidR="0057042E" w:rsidRPr="0057042E" w:rsidRDefault="00C154D6" w:rsidP="0057042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57042E" w:rsidRPr="0057042E">
        <w:rPr>
          <w:rFonts w:ascii="Calibri" w:hAnsi="Calibri" w:cs="Times New Roman"/>
          <w:noProof/>
          <w:kern w:val="0"/>
          <w:sz w:val="20"/>
          <w:szCs w:val="24"/>
        </w:rPr>
        <w:t xml:space="preserve">(1) </w:t>
      </w:r>
      <w:r w:rsidR="0057042E" w:rsidRPr="0057042E">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57042E" w:rsidRPr="0057042E">
        <w:rPr>
          <w:rFonts w:ascii="Calibri" w:hAnsi="Calibri" w:cs="Times New Roman"/>
          <w:i/>
          <w:iCs/>
          <w:noProof/>
          <w:kern w:val="0"/>
          <w:sz w:val="20"/>
          <w:szCs w:val="24"/>
        </w:rPr>
        <w:t>Nat. Mater.</w:t>
      </w:r>
      <w:r w:rsidR="0057042E" w:rsidRPr="0057042E">
        <w:rPr>
          <w:rFonts w:ascii="Calibri" w:hAnsi="Calibri" w:cs="Times New Roman"/>
          <w:noProof/>
          <w:kern w:val="0"/>
          <w:sz w:val="20"/>
          <w:szCs w:val="24"/>
        </w:rPr>
        <w:t xml:space="preserve"> </w:t>
      </w:r>
      <w:r w:rsidR="0057042E" w:rsidRPr="0057042E">
        <w:rPr>
          <w:rFonts w:ascii="Calibri" w:hAnsi="Calibri" w:cs="Times New Roman"/>
          <w:b/>
          <w:bCs/>
          <w:noProof/>
          <w:kern w:val="0"/>
          <w:sz w:val="20"/>
          <w:szCs w:val="24"/>
        </w:rPr>
        <w:t>2015</w:t>
      </w:r>
      <w:r w:rsidR="0057042E" w:rsidRPr="0057042E">
        <w:rPr>
          <w:rFonts w:ascii="Calibri" w:hAnsi="Calibri" w:cs="Times New Roman"/>
          <w:noProof/>
          <w:kern w:val="0"/>
          <w:sz w:val="20"/>
          <w:szCs w:val="24"/>
        </w:rPr>
        <w:t xml:space="preserve">, </w:t>
      </w:r>
      <w:r w:rsidR="0057042E" w:rsidRPr="0057042E">
        <w:rPr>
          <w:rFonts w:ascii="Calibri" w:hAnsi="Calibri" w:cs="Times New Roman"/>
          <w:i/>
          <w:iCs/>
          <w:noProof/>
          <w:kern w:val="0"/>
          <w:sz w:val="20"/>
          <w:szCs w:val="24"/>
        </w:rPr>
        <w:t>15</w:t>
      </w:r>
      <w:r w:rsidR="0057042E" w:rsidRPr="0057042E">
        <w:rPr>
          <w:rFonts w:ascii="Calibri" w:hAnsi="Calibri" w:cs="Times New Roman"/>
          <w:noProof/>
          <w:kern w:val="0"/>
          <w:sz w:val="20"/>
          <w:szCs w:val="24"/>
        </w:rPr>
        <w:t xml:space="preserve"> (December), 1–6.</w:t>
      </w:r>
    </w:p>
    <w:p w14:paraId="02FA8E1C"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(2) </w:t>
      </w:r>
      <w:r w:rsidRPr="0057042E">
        <w:rPr>
          <w:rFonts w:ascii="Calibri" w:hAnsi="Calibri" w:cs="Times New Roman"/>
          <w:noProof/>
          <w:kern w:val="0"/>
          <w:sz w:val="20"/>
          <w:szCs w:val="24"/>
        </w:rPr>
        <w:tab/>
        <w:t xml:space="preserve">Yang, L.; Yang, N.; Li, B. </w:t>
      </w:r>
      <w:r w:rsidRPr="0057042E">
        <w:rPr>
          <w:rFonts w:ascii="Calibri" w:hAnsi="Calibri" w:cs="Times New Roman"/>
          <w:i/>
          <w:iCs/>
          <w:noProof/>
          <w:kern w:val="0"/>
          <w:sz w:val="20"/>
          <w:szCs w:val="24"/>
        </w:rPr>
        <w:t>Sci. Rep.</w:t>
      </w:r>
      <w:r w:rsidRPr="0057042E">
        <w:rPr>
          <w:rFonts w:ascii="Calibri" w:hAnsi="Calibri" w:cs="Times New Roman"/>
          <w:noProof/>
          <w:kern w:val="0"/>
          <w:sz w:val="20"/>
          <w:szCs w:val="24"/>
        </w:rPr>
        <w:t xml:space="preserve">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w:t>
      </w:r>
      <w:r w:rsidRPr="0057042E">
        <w:rPr>
          <w:rFonts w:ascii="Calibri" w:hAnsi="Calibri" w:cs="Times New Roman"/>
          <w:noProof/>
          <w:kern w:val="0"/>
          <w:sz w:val="20"/>
          <w:szCs w:val="24"/>
        </w:rPr>
        <w:t>, 1143.</w:t>
      </w:r>
    </w:p>
    <w:p w14:paraId="612A7EA5"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(3) </w:t>
      </w:r>
      <w:r w:rsidRPr="0057042E">
        <w:rPr>
          <w:rFonts w:ascii="Calibri" w:hAnsi="Calibri" w:cs="Times New Roman"/>
          <w:noProof/>
          <w:kern w:val="0"/>
          <w:sz w:val="20"/>
          <w:szCs w:val="24"/>
        </w:rPr>
        <w:tab/>
        <w:t xml:space="preserve">Togo,  a.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w:t>
      </w:r>
    </w:p>
    <w:p w14:paraId="36495BCF" w14:textId="77777777" w:rsidR="0057042E" w:rsidRPr="0057042E" w:rsidRDefault="0057042E" w:rsidP="0057042E">
      <w:pPr>
        <w:autoSpaceDE w:val="0"/>
        <w:autoSpaceDN w:val="0"/>
        <w:adjustRightInd w:val="0"/>
        <w:spacing w:before="100" w:after="100"/>
        <w:ind w:left="640" w:hanging="640"/>
        <w:jc w:val="left"/>
        <w:rPr>
          <w:rFonts w:ascii="Calibri" w:hAnsi="Calibri"/>
          <w:noProof/>
          <w:sz w:val="20"/>
        </w:rPr>
      </w:pPr>
      <w:r w:rsidRPr="0057042E">
        <w:rPr>
          <w:rFonts w:ascii="Calibri" w:hAnsi="Calibri" w:cs="Times New Roman"/>
          <w:noProof/>
          <w:kern w:val="0"/>
          <w:sz w:val="20"/>
          <w:szCs w:val="24"/>
        </w:rPr>
        <w:t xml:space="preserve">(4) </w:t>
      </w:r>
      <w:r w:rsidRPr="0057042E">
        <w:rPr>
          <w:rFonts w:ascii="Calibri" w:hAnsi="Calibri" w:cs="Times New Roman"/>
          <w:noProof/>
          <w:kern w:val="0"/>
          <w:sz w:val="20"/>
          <w:szCs w:val="24"/>
        </w:rPr>
        <w:tab/>
        <w:t xml:space="preserve">Kirkwood, J. G.; Boggs, E. M.; Kirkwood, G.; Boggs, E. M. </w:t>
      </w:r>
      <w:r w:rsidRPr="0057042E">
        <w:rPr>
          <w:rFonts w:ascii="Calibri" w:hAnsi="Calibri" w:cs="Times New Roman"/>
          <w:b/>
          <w:bCs/>
          <w:noProof/>
          <w:kern w:val="0"/>
          <w:sz w:val="20"/>
          <w:szCs w:val="24"/>
        </w:rPr>
        <w:t>1992</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394</w:t>
      </w:r>
      <w:r w:rsidRPr="0057042E">
        <w:rPr>
          <w:rFonts w:ascii="Calibri" w:hAnsi="Calibri" w:cs="Times New Roman"/>
          <w:noProof/>
          <w:kern w:val="0"/>
          <w:sz w:val="20"/>
          <w:szCs w:val="24"/>
        </w:rPr>
        <w:t xml:space="preserve"> (1942).</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183166AF" w:rsidR="00BE459D" w:rsidRPr="00C07B53" w:rsidRDefault="00BE459D"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1</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8133FA"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125.3pt">
            <v:imagedata r:id="rId10"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1EDDB8A7" w:rsidR="009979B0" w:rsidRPr="005530E2" w:rsidRDefault="009979B0"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A001D6">
        <w:rPr>
          <w:rFonts w:ascii="Times New Roman" w:hAnsi="Times New Roman" w:cs="Times New Roman"/>
          <w:b/>
          <w:bCs/>
          <w:color w:val="000000" w:themeColor="text1"/>
        </w:rPr>
        <w:t>2</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Pr="00C07B53">
        <w:rPr>
          <w:rFonts w:ascii="Times New Roman" w:hAnsi="Times New Roman" w:cs="Times New Roman"/>
          <w:color w:val="000000" w:themeColor="text1"/>
        </w:rPr>
        <w:t>.</w:t>
      </w:r>
      <w:r w:rsidR="005530E2" w:rsidRPr="005530E2">
        <w:t xml:space="preserve"> </w:t>
      </w:r>
    </w:p>
    <w:p w14:paraId="20BC73E6" w14:textId="11CCB02B" w:rsidR="005530E2" w:rsidRDefault="008133FA"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15pt">
            <v:imagedata r:id="rId11"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24CBB272" w:rsidR="0073497E" w:rsidRDefault="0073497E" w:rsidP="005530E2">
      <w:pPr>
        <w:ind w:firstLineChars="288" w:firstLine="607"/>
        <w:jc w:val="left"/>
        <w:rPr>
          <w:rFonts w:ascii="Times New Roman" w:hAnsi="Times New Roman" w:cs="Times New Roman"/>
          <w:noProof/>
          <w:color w:val="000000" w:themeColor="text1"/>
        </w:rPr>
      </w:pPr>
      <w:r w:rsidRPr="00C07B53">
        <w:rPr>
          <w:rFonts w:ascii="Times New Roman" w:hAnsi="Times New Roman" w:cs="Times New Roman"/>
          <w:b/>
          <w:bCs/>
          <w:color w:val="000000" w:themeColor="text1"/>
        </w:rPr>
        <w:t xml:space="preserve">FIG. </w:t>
      </w:r>
      <w:r w:rsidR="005530E2">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Pr>
          <w:rFonts w:ascii="Times New Roman" w:hAnsi="Times New Roman" w:cs="Times New Roman"/>
          <w:color w:val="000000" w:themeColor="text1"/>
        </w:rPr>
        <w:t>MSD</w:t>
      </w:r>
      <w:r w:rsidR="005530E2">
        <w:rPr>
          <w:rFonts w:ascii="Times New Roman" w:hAnsi="Times New Roman" w:cs="Times New Roman"/>
          <w:color w:val="000000" w:themeColor="text1"/>
        </w:rPr>
        <w:t>)</w:t>
      </w:r>
      <w:r>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027D865C" w:rsidR="008F7A75" w:rsidRDefault="008F7A75" w:rsidP="00970D34">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970D34">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Pr>
          <w:rFonts w:ascii="Times New Roman" w:hAnsi="Times New Roman" w:cs="Times New Roman"/>
          <w:color w:val="000000" w:themeColor="text1"/>
        </w:rPr>
        <w:t xml:space="preserve"> convergence vs. q points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8133FA">
        <w:rPr>
          <w:rFonts w:ascii="Times New Roman" w:hAnsi="Times New Roman" w:cs="Times New Roman"/>
          <w:noProof/>
          <w:color w:val="000000" w:themeColor="text1"/>
        </w:rPr>
        <w:pict w14:anchorId="28E7B23E">
          <v:shape id="_x0000_i1027" type="#_x0000_t75" style="width:172.5pt;height:138.4pt">
            <v:imagedata r:id="rId16"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196BCC21" w:rsidR="0073497E" w:rsidRPr="00C07B53" w:rsidRDefault="0073497E" w:rsidP="004E272A">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lastRenderedPageBreak/>
        <w:t xml:space="preserve">FIG. </w:t>
      </w:r>
      <w:r w:rsidR="004E272A">
        <w:rPr>
          <w:rFonts w:ascii="Times New Roman" w:hAnsi="Times New Roman" w:cs="Times New Roman"/>
          <w:b/>
          <w:bCs/>
          <w:color w:val="000000" w:themeColor="text1"/>
        </w:rPr>
        <w:t>5</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Thermal conductivity</w:t>
      </w:r>
      <w:r>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318B848A" w:rsidR="00A001D6" w:rsidRPr="00C07B53" w:rsidRDefault="00A001D6"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Phonon gr</w:t>
      </w:r>
      <w:r>
        <w:rPr>
          <w:rFonts w:ascii="Times New Roman" w:hAnsi="Times New Roman" w:cs="Times New Roman"/>
          <w:color w:val="000000" w:themeColor="text1"/>
        </w:rPr>
        <w:t xml:space="preserve">oup velocity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1D36712B" w14:textId="5E88AE6E" w:rsidR="009979B0" w:rsidRPr="00447E6F" w:rsidRDefault="00146A99" w:rsidP="009979B0">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p>
    <w:p w14:paraId="6C475F89" w14:textId="5D0A2D06" w:rsidR="00447E6F" w:rsidRDefault="00447E6F" w:rsidP="00A001D6">
      <w:pPr>
        <w:ind w:left="420" w:firstLineChars="88" w:firstLine="186"/>
        <w:jc w:val="center"/>
        <w:rPr>
          <w:rFonts w:ascii="Times New Roman" w:hAnsi="Times New Roman" w:cs="Times New Roman"/>
          <w:b/>
          <w:bCs/>
          <w:color w:val="000000" w:themeColor="text1"/>
        </w:rPr>
      </w:pPr>
    </w:p>
    <w:p w14:paraId="51BA674C" w14:textId="77777777" w:rsidR="00447E6F" w:rsidRDefault="00447E6F">
      <w:pPr>
        <w:widowControl/>
        <w:jc w:val="left"/>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09FB1DA3" w:rsidR="00A10B4C" w:rsidRPr="00C07B53" w:rsidRDefault="00A10B4C"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6</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Phonon lifetime caused by three phonon scattering</w:t>
      </w:r>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77777777" w:rsidR="008F7A75" w:rsidRPr="00C07B53" w:rsidRDefault="008F7A75"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w:t>
      </w:r>
      <w:r>
        <w:rPr>
          <w:rFonts w:ascii="Times New Roman" w:hAnsi="Times New Roman" w:cs="Times New Roman"/>
          <w:color w:val="000000" w:themeColor="text1"/>
        </w:rPr>
        <w:t xml:space="preserve">participation ratio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02343573" w14:textId="06E21CD7" w:rsidR="00CB69DB" w:rsidRDefault="008133FA"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1pt;height:219.25pt">
            <v:imagedata r:id="rId22"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36CC4CE3" w:rsidR="00A10B4C" w:rsidRPr="00C07B53" w:rsidRDefault="00A10B4C"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C71BAB">
        <w:rPr>
          <w:rFonts w:ascii="Times New Roman" w:hAnsi="Times New Roman" w:cs="Times New Roman"/>
          <w:b/>
          <w:bCs/>
          <w:color w:val="000000" w:themeColor="text1"/>
        </w:rPr>
        <w:t>7</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 xml:space="preserve">Phonon </w:t>
      </w:r>
      <w:r>
        <w:rPr>
          <w:rFonts w:ascii="Times New Roman" w:hAnsi="Times New Roman" w:cs="Times New Roman" w:hint="eastAsia"/>
          <w:color w:val="000000" w:themeColor="text1"/>
        </w:rPr>
        <w:t>sc</w:t>
      </w:r>
      <w:r>
        <w:rPr>
          <w:rFonts w:ascii="Times New Roman" w:hAnsi="Times New Roman" w:cs="Times New Roman"/>
          <w:color w:val="000000" w:themeColor="text1"/>
        </w:rPr>
        <w:t xml:space="preserve">attering strength vs. frequency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2C2FD72D" w:rsidR="007A5980" w:rsidRPr="00C07B53"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5AE6BC71">
            <wp:extent cx="3277870" cy="2535555"/>
            <wp:effectExtent l="0" t="0" r="0" b="0"/>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7870" cy="2535555"/>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8287FE1">
            <wp:extent cx="3117215" cy="2399030"/>
            <wp:effectExtent l="0" t="0" r="6985" b="127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215" cy="2399030"/>
                    </a:xfrm>
                    <a:prstGeom prst="rect">
                      <a:avLst/>
                    </a:prstGeom>
                    <a:noFill/>
                    <a:ln>
                      <a:noFill/>
                    </a:ln>
                  </pic:spPr>
                </pic:pic>
              </a:graphicData>
            </a:graphic>
          </wp:inline>
        </w:drawing>
      </w:r>
    </w:p>
    <w:sectPr w:rsidR="007A5980"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4B1571" w14:textId="77777777" w:rsidR="000D619D" w:rsidRDefault="000D619D" w:rsidP="00C154D6">
      <w:r>
        <w:separator/>
      </w:r>
    </w:p>
  </w:endnote>
  <w:endnote w:type="continuationSeparator" w:id="0">
    <w:p w14:paraId="63C5EEBF" w14:textId="77777777" w:rsidR="000D619D" w:rsidRDefault="000D619D"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F4BB3" w14:textId="77777777" w:rsidR="000D619D" w:rsidRDefault="000D619D" w:rsidP="00C154D6">
      <w:r>
        <w:separator/>
      </w:r>
    </w:p>
  </w:footnote>
  <w:footnote w:type="continuationSeparator" w:id="0">
    <w:p w14:paraId="1F4FFF18" w14:textId="77777777" w:rsidR="000D619D" w:rsidRDefault="000D619D"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63C6"/>
    <w:rsid w:val="00107873"/>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6E7F"/>
    <w:rsid w:val="00337088"/>
    <w:rsid w:val="00342649"/>
    <w:rsid w:val="00351EE8"/>
    <w:rsid w:val="003570AA"/>
    <w:rsid w:val="00360B2E"/>
    <w:rsid w:val="0036203A"/>
    <w:rsid w:val="00371157"/>
    <w:rsid w:val="003755C9"/>
    <w:rsid w:val="00381302"/>
    <w:rsid w:val="00383437"/>
    <w:rsid w:val="0038723B"/>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4C2A"/>
    <w:rsid w:val="007D59E9"/>
    <w:rsid w:val="007D5E2E"/>
    <w:rsid w:val="007F0492"/>
    <w:rsid w:val="007F2063"/>
    <w:rsid w:val="007F4040"/>
    <w:rsid w:val="0080116B"/>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3825"/>
    <w:rsid w:val="00B23A1F"/>
    <w:rsid w:val="00B241D3"/>
    <w:rsid w:val="00B3333B"/>
    <w:rsid w:val="00B371F7"/>
    <w:rsid w:val="00B4543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4027"/>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3BE7"/>
    <w:rsid w:val="00DA5C05"/>
    <w:rsid w:val="00DA61AF"/>
    <w:rsid w:val="00DA6D8F"/>
    <w:rsid w:val="00DC529A"/>
    <w:rsid w:val="00DD0F5A"/>
    <w:rsid w:val="00DD2143"/>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5BF"/>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D5AC2"/>
    <w:rsid w:val="00ED7ECA"/>
    <w:rsid w:val="00EE181E"/>
    <w:rsid w:val="00EE2289"/>
    <w:rsid w:val="00EE5E2A"/>
    <w:rsid w:val="00EF177D"/>
    <w:rsid w:val="00EF68A5"/>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s?f=13&amp;nojc=1&amp;wd=inequivalen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aidu.com/s?f=13&amp;nojc=1&amp;wd=inequivalen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470A-E874-47DE-B3B9-D3210419C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14850</TotalTime>
  <Pages>12</Pages>
  <Words>3605</Words>
  <Characters>20549</Characters>
  <Application>Microsoft Office Word</Application>
  <DocSecurity>0</DocSecurity>
  <Lines>171</Lines>
  <Paragraphs>48</Paragraphs>
  <ScaleCrop>false</ScaleCrop>
  <Company/>
  <LinksUpToDate>false</LinksUpToDate>
  <CharactersWithSpaces>24106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18</cp:revision>
  <dcterms:created xsi:type="dcterms:W3CDTF">2014-11-05T05:16:00Z</dcterms:created>
  <dcterms:modified xsi:type="dcterms:W3CDTF">2017-02-10T15:01:00Z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http://www.zotero.org/styles/nanoscale</vt:lpwstr>
  </property>
  <property fmtid="{D5CDD505-2E9C-101B-9397-08002B2CF9AE}" pid="21" name="Mendeley Recent Style Name 8_1">
    <vt:lpwstr>Nanoscale</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0240940d-96ec-36ab-8243-42eb9dd96b00</vt:lpwstr>
  </property>
</Properties>
</file>