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SAMPLE PROJECT DOCUMENTATION: WaterWise</w:t>
      </w:r>
    </w:p>
    <w:p>
      <w:pPr/>
      <w:r>
        <w:t xml:space="preserve">Purpose: WaterWise is a fictional student prototype that helps community-garden volunteers review soil moisture readings before watering.</w:t>
      </w:r>
    </w:p>
    <w:p>
      <w:pPr/>
      <w:r>
        <w:t xml:space="preserve">Components: A sensor produces a timestamped percentage, a gateway validates the payload, a local SQLite database stores readings, and a browser dashboard renders a weekly chart.</w:t>
      </w:r>
    </w:p>
    <w:p>
      <w:pPr/>
      <w:r>
        <w:t xml:space="preserve">Example event: Plot C reads 24 percent at 09:15. The application checks that the value is within the permitted range and records sensor ID, calibration date, and quality status.</w:t>
      </w:r>
    </w:p>
    <w:p>
      <w:pPr/>
      <w:r>
        <w:t xml:space="preserve">Privacy: The demonstration stores no real resident or garden-owner information. Sample contacts use the reserved example.test domain.</w:t>
      </w:r>
    </w:p>
    <w:p>
      <w:pPr/>
      <w:r>
        <w:t xml:space="preserve">Testing plan: Check valid and missing readings, duplicate sensor events, boundary values, and a gateway outage. A missing reading must not be interpreted as dry soil.</w:t>
      </w:r>
    </w:p>
    <w:p>
      <w:pPr/>
      <w:r>
        <w:t xml:space="preserve">Known limitations: The threshold is configurable and must be calibrated for each sensor and planting bed. The prototype does not control a pump.</w:t>
      </w:r>
    </w:p>
    <w:p>
      <w:pPr/>
      <w:r>
        <w:t xml:space="preserve">Release checklist: Back up the database, confirm the sample-data label, verify the chart legend, and record the tested application version.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