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DC3BE" w14:textId="5D68CF2A" w:rsidR="008942F8" w:rsidRPr="000121EC" w:rsidRDefault="002F7A2B" w:rsidP="00845444">
      <w:pPr>
        <w:pStyle w:val="Title"/>
        <w:spacing w:after="0" w:line="360" w:lineRule="auto"/>
        <w:ind w:left="720"/>
        <w:jc w:val="center"/>
        <w:rPr>
          <w:rFonts w:ascii="Arial" w:hAnsi="Arial" w:cs="Arial"/>
          <w:color w:val="auto"/>
          <w:sz w:val="21"/>
          <w:szCs w:val="21"/>
        </w:rPr>
      </w:pPr>
      <w:r w:rsidRPr="000121EC">
        <w:rPr>
          <w:rFonts w:ascii="Arial" w:hAnsi="Arial" w:cs="Arial"/>
          <w:color w:val="auto"/>
          <w:sz w:val="21"/>
          <w:szCs w:val="21"/>
        </w:rPr>
        <w:t xml:space="preserve">AI and </w:t>
      </w:r>
      <w:r w:rsidR="00FB41F5" w:rsidRPr="000121EC">
        <w:rPr>
          <w:rFonts w:ascii="Arial" w:hAnsi="Arial" w:cs="Arial"/>
          <w:color w:val="auto"/>
          <w:sz w:val="21"/>
          <w:szCs w:val="21"/>
        </w:rPr>
        <w:t>s</w:t>
      </w:r>
      <w:r w:rsidRPr="000121EC">
        <w:rPr>
          <w:rFonts w:ascii="Arial" w:hAnsi="Arial" w:cs="Arial"/>
          <w:color w:val="auto"/>
          <w:sz w:val="21"/>
          <w:szCs w:val="21"/>
        </w:rPr>
        <w:t xml:space="preserve">hock </w:t>
      </w:r>
      <w:r w:rsidR="00FB41F5" w:rsidRPr="000121EC">
        <w:rPr>
          <w:rFonts w:ascii="Arial" w:hAnsi="Arial" w:cs="Arial"/>
          <w:color w:val="auto"/>
          <w:sz w:val="21"/>
          <w:szCs w:val="21"/>
        </w:rPr>
        <w:t>r</w:t>
      </w:r>
      <w:r w:rsidRPr="000121EC">
        <w:rPr>
          <w:rFonts w:ascii="Arial" w:hAnsi="Arial" w:cs="Arial"/>
          <w:color w:val="auto"/>
          <w:sz w:val="21"/>
          <w:szCs w:val="21"/>
        </w:rPr>
        <w:t>esilience:</w:t>
      </w:r>
    </w:p>
    <w:p w14:paraId="120FC553" w14:textId="071A9C15" w:rsidR="00DD3FFF" w:rsidRPr="000121EC" w:rsidRDefault="002F7A2B" w:rsidP="00845444">
      <w:pPr>
        <w:pStyle w:val="Title"/>
        <w:spacing w:after="0" w:line="360" w:lineRule="auto"/>
        <w:ind w:left="720"/>
        <w:jc w:val="center"/>
        <w:rPr>
          <w:rFonts w:ascii="Arial" w:hAnsi="Arial" w:cs="Arial"/>
          <w:color w:val="auto"/>
          <w:sz w:val="21"/>
          <w:szCs w:val="21"/>
        </w:rPr>
      </w:pPr>
      <w:r w:rsidRPr="000121EC">
        <w:rPr>
          <w:rFonts w:ascii="Arial" w:hAnsi="Arial" w:cs="Arial"/>
          <w:color w:val="auto"/>
          <w:sz w:val="21"/>
          <w:szCs w:val="21"/>
        </w:rPr>
        <w:t xml:space="preserve">Indications from </w:t>
      </w:r>
      <w:r w:rsidR="00FB41F5" w:rsidRPr="000121EC">
        <w:rPr>
          <w:rFonts w:ascii="Arial" w:hAnsi="Arial" w:cs="Arial"/>
          <w:color w:val="auto"/>
          <w:sz w:val="21"/>
          <w:szCs w:val="21"/>
        </w:rPr>
        <w:t>e</w:t>
      </w:r>
      <w:r w:rsidRPr="000121EC">
        <w:rPr>
          <w:rFonts w:ascii="Arial" w:hAnsi="Arial" w:cs="Arial"/>
          <w:color w:val="auto"/>
          <w:sz w:val="21"/>
          <w:szCs w:val="21"/>
        </w:rPr>
        <w:t xml:space="preserve">uro </w:t>
      </w:r>
      <w:r w:rsidR="00FB41F5" w:rsidRPr="000121EC">
        <w:rPr>
          <w:rFonts w:ascii="Arial" w:hAnsi="Arial" w:cs="Arial"/>
          <w:color w:val="auto"/>
          <w:sz w:val="21"/>
          <w:szCs w:val="21"/>
        </w:rPr>
        <w:t>a</w:t>
      </w:r>
      <w:r w:rsidRPr="000121EC">
        <w:rPr>
          <w:rFonts w:ascii="Arial" w:hAnsi="Arial" w:cs="Arial"/>
          <w:color w:val="auto"/>
          <w:sz w:val="21"/>
          <w:szCs w:val="21"/>
        </w:rPr>
        <w:t xml:space="preserve">rea </w:t>
      </w:r>
      <w:r w:rsidR="00FB41F5" w:rsidRPr="000121EC">
        <w:rPr>
          <w:rFonts w:ascii="Arial" w:hAnsi="Arial" w:cs="Arial"/>
          <w:color w:val="auto"/>
          <w:sz w:val="21"/>
          <w:szCs w:val="21"/>
        </w:rPr>
        <w:t>e</w:t>
      </w:r>
      <w:r w:rsidRPr="000121EC">
        <w:rPr>
          <w:rFonts w:ascii="Arial" w:hAnsi="Arial" w:cs="Arial"/>
          <w:color w:val="auto"/>
          <w:sz w:val="21"/>
          <w:szCs w:val="21"/>
        </w:rPr>
        <w:t>conomies</w:t>
      </w:r>
    </w:p>
    <w:p w14:paraId="6DA7DFC8" w14:textId="77777777" w:rsidR="00DD3FFF" w:rsidRDefault="00DD3FFF" w:rsidP="00F50C96">
      <w:pPr>
        <w:spacing w:after="0" w:line="360" w:lineRule="auto"/>
        <w:jc w:val="both"/>
        <w:rPr>
          <w:rFonts w:cs="Arial"/>
          <w:szCs w:val="21"/>
        </w:rPr>
      </w:pPr>
    </w:p>
    <w:p w14:paraId="3E6A6AE0" w14:textId="77777777" w:rsidR="00845444" w:rsidRPr="000121EC" w:rsidRDefault="00845444" w:rsidP="00F50C96">
      <w:pPr>
        <w:spacing w:after="0" w:line="360" w:lineRule="auto"/>
        <w:jc w:val="both"/>
        <w:rPr>
          <w:rFonts w:cs="Arial"/>
          <w:szCs w:val="21"/>
        </w:rPr>
      </w:pPr>
    </w:p>
    <w:p w14:paraId="05DF100C" w14:textId="1F90D388" w:rsidR="008942F8" w:rsidRPr="000121EC" w:rsidRDefault="002F7A2B" w:rsidP="00F50C96">
      <w:pPr>
        <w:pStyle w:val="Heading1"/>
        <w:spacing w:before="0" w:after="0" w:line="360" w:lineRule="auto"/>
        <w:ind w:left="720"/>
        <w:jc w:val="both"/>
        <w:rPr>
          <w:rFonts w:ascii="Arial" w:hAnsi="Arial" w:cs="Arial"/>
          <w:color w:val="auto"/>
          <w:sz w:val="21"/>
          <w:szCs w:val="21"/>
        </w:rPr>
      </w:pPr>
      <w:r w:rsidRPr="000121EC">
        <w:rPr>
          <w:rFonts w:ascii="Arial" w:hAnsi="Arial" w:cs="Arial"/>
          <w:color w:val="auto"/>
          <w:sz w:val="21"/>
          <w:szCs w:val="21"/>
        </w:rPr>
        <w:t>Abstract</w:t>
      </w:r>
    </w:p>
    <w:p w14:paraId="59774C3D" w14:textId="2A724E5A" w:rsidR="008942F8" w:rsidRPr="000121EC" w:rsidRDefault="005C0161" w:rsidP="00F50C96">
      <w:pPr>
        <w:pStyle w:val="AbstractText"/>
        <w:spacing w:after="0" w:line="360" w:lineRule="auto"/>
        <w:ind w:left="720" w:right="403"/>
        <w:jc w:val="both"/>
        <w:rPr>
          <w:rFonts w:cs="Arial"/>
          <w:color w:val="auto"/>
          <w:sz w:val="21"/>
          <w:szCs w:val="21"/>
          <w:lang w:val="en-GB"/>
        </w:rPr>
      </w:pPr>
      <w:r w:rsidRPr="000121EC">
        <w:rPr>
          <w:rFonts w:cs="Arial"/>
          <w:color w:val="auto"/>
          <w:sz w:val="21"/>
          <w:szCs w:val="21"/>
          <w:lang w:val="en-GB"/>
        </w:rPr>
        <w:t>We</w:t>
      </w:r>
      <w:r w:rsidR="002F7A2B" w:rsidRPr="000121EC">
        <w:rPr>
          <w:rFonts w:cs="Arial"/>
          <w:color w:val="auto"/>
          <w:sz w:val="21"/>
          <w:szCs w:val="21"/>
          <w:lang w:val="en-GB"/>
        </w:rPr>
        <w:t xml:space="preserve"> examine whether euro area economies with greater ICT</w:t>
      </w:r>
      <w:r w:rsidR="00BE4C69">
        <w:rPr>
          <w:rFonts w:cs="Arial"/>
          <w:color w:val="auto"/>
          <w:sz w:val="21"/>
          <w:szCs w:val="21"/>
          <w:lang w:val="en-GB"/>
        </w:rPr>
        <w:t>/</w:t>
      </w:r>
      <w:r w:rsidRPr="000121EC">
        <w:rPr>
          <w:rFonts w:cs="Arial"/>
          <w:color w:val="auto"/>
          <w:sz w:val="21"/>
          <w:szCs w:val="21"/>
          <w:lang w:val="en-GB"/>
        </w:rPr>
        <w:t xml:space="preserve">AI </w:t>
      </w:r>
      <w:r w:rsidR="002F7A2B" w:rsidRPr="000121EC">
        <w:rPr>
          <w:rFonts w:cs="Arial"/>
          <w:color w:val="auto"/>
          <w:sz w:val="21"/>
          <w:szCs w:val="21"/>
          <w:lang w:val="en-GB"/>
        </w:rPr>
        <w:t xml:space="preserve">exposure are more likely to </w:t>
      </w:r>
      <w:r w:rsidR="00330EAD" w:rsidRPr="000121EC">
        <w:rPr>
          <w:rFonts w:cs="Arial"/>
          <w:color w:val="auto"/>
          <w:sz w:val="21"/>
          <w:szCs w:val="21"/>
          <w:lang w:val="en-GB"/>
        </w:rPr>
        <w:t xml:space="preserve">show positive GDP growth surprises, </w:t>
      </w:r>
      <w:r w:rsidR="002F7A2B" w:rsidRPr="000121EC">
        <w:rPr>
          <w:rFonts w:cs="Arial"/>
          <w:color w:val="auto"/>
          <w:sz w:val="21"/>
          <w:szCs w:val="21"/>
          <w:lang w:val="en-GB"/>
        </w:rPr>
        <w:t xml:space="preserve">particularly during global shocks. Country-clustered bivariate tests are combined with linear </w:t>
      </w:r>
      <w:r w:rsidR="0030759B" w:rsidRPr="000121EC">
        <w:rPr>
          <w:rFonts w:cs="Arial"/>
          <w:color w:val="auto"/>
          <w:sz w:val="21"/>
          <w:szCs w:val="21"/>
          <w:lang w:val="en-GB"/>
        </w:rPr>
        <w:t xml:space="preserve">and non-linear panel </w:t>
      </w:r>
      <w:r w:rsidR="00F921ED" w:rsidRPr="000121EC">
        <w:rPr>
          <w:rFonts w:cs="Arial"/>
          <w:color w:val="auto"/>
          <w:sz w:val="21"/>
          <w:szCs w:val="21"/>
          <w:lang w:val="en-GB"/>
        </w:rPr>
        <w:t xml:space="preserve">regression </w:t>
      </w:r>
      <w:r w:rsidR="002F7A2B" w:rsidRPr="000121EC">
        <w:rPr>
          <w:rFonts w:cs="Arial"/>
          <w:color w:val="auto"/>
          <w:sz w:val="21"/>
          <w:szCs w:val="21"/>
          <w:lang w:val="en-GB"/>
        </w:rPr>
        <w:t>models</w:t>
      </w:r>
      <w:r w:rsidR="0030759B" w:rsidRPr="000121EC">
        <w:rPr>
          <w:rFonts w:cs="Arial"/>
          <w:color w:val="auto"/>
          <w:sz w:val="21"/>
          <w:szCs w:val="21"/>
          <w:lang w:val="en-GB"/>
        </w:rPr>
        <w:t xml:space="preserve">. </w:t>
      </w:r>
      <w:r w:rsidR="003B39C0" w:rsidRPr="000121EC">
        <w:rPr>
          <w:rFonts w:cs="Arial"/>
          <w:color w:val="auto"/>
          <w:sz w:val="21"/>
          <w:szCs w:val="21"/>
          <w:lang w:val="en-GB"/>
        </w:rPr>
        <w:t xml:space="preserve">We find that </w:t>
      </w:r>
      <w:r w:rsidR="002F7A2B" w:rsidRPr="000121EC">
        <w:rPr>
          <w:rFonts w:cs="Arial"/>
          <w:color w:val="auto"/>
          <w:sz w:val="21"/>
          <w:szCs w:val="21"/>
          <w:lang w:val="en-GB"/>
        </w:rPr>
        <w:t>ICT/AI corporate investment is associated with a</w:t>
      </w:r>
      <w:r w:rsidR="00BF2870" w:rsidRPr="000121EC">
        <w:rPr>
          <w:rFonts w:cs="Arial"/>
          <w:color w:val="auto"/>
          <w:sz w:val="21"/>
          <w:szCs w:val="21"/>
          <w:lang w:val="en-GB"/>
        </w:rPr>
        <w:t xml:space="preserve"> </w:t>
      </w:r>
      <w:r w:rsidR="002F7A2B" w:rsidRPr="000121EC">
        <w:rPr>
          <w:rFonts w:cs="Arial"/>
          <w:color w:val="auto"/>
          <w:sz w:val="21"/>
          <w:szCs w:val="21"/>
          <w:lang w:val="en-GB"/>
        </w:rPr>
        <w:t>higher probability of a positive surprise</w:t>
      </w:r>
      <w:r w:rsidR="009B768E" w:rsidRPr="000121EC">
        <w:rPr>
          <w:rFonts w:cs="Arial"/>
          <w:color w:val="auto"/>
          <w:sz w:val="21"/>
          <w:szCs w:val="21"/>
          <w:lang w:val="en-GB"/>
        </w:rPr>
        <w:t xml:space="preserve">, while </w:t>
      </w:r>
      <w:r w:rsidR="002F7A2B" w:rsidRPr="000121EC">
        <w:rPr>
          <w:rFonts w:cs="Arial"/>
          <w:color w:val="auto"/>
          <w:sz w:val="21"/>
          <w:szCs w:val="21"/>
          <w:lang w:val="en-GB"/>
        </w:rPr>
        <w:t xml:space="preserve">ICT/AI-related export exposure </w:t>
      </w:r>
      <w:r w:rsidR="009B768E" w:rsidRPr="000121EC">
        <w:rPr>
          <w:rFonts w:cs="Arial"/>
          <w:color w:val="auto"/>
          <w:sz w:val="21"/>
          <w:szCs w:val="21"/>
          <w:lang w:val="en-GB"/>
        </w:rPr>
        <w:t xml:space="preserve">is </w:t>
      </w:r>
      <w:r w:rsidR="002F7A2B" w:rsidRPr="000121EC">
        <w:rPr>
          <w:rFonts w:cs="Arial"/>
          <w:color w:val="auto"/>
          <w:sz w:val="21"/>
          <w:szCs w:val="21"/>
          <w:lang w:val="en-GB"/>
        </w:rPr>
        <w:t>associat</w:t>
      </w:r>
      <w:r w:rsidR="009B768E" w:rsidRPr="000121EC">
        <w:rPr>
          <w:rFonts w:cs="Arial"/>
          <w:color w:val="auto"/>
          <w:sz w:val="21"/>
          <w:szCs w:val="21"/>
          <w:lang w:val="en-GB"/>
        </w:rPr>
        <w:t xml:space="preserve">ed with </w:t>
      </w:r>
      <w:r w:rsidR="002F7A2B" w:rsidRPr="000121EC">
        <w:rPr>
          <w:rFonts w:cs="Arial"/>
          <w:color w:val="auto"/>
          <w:sz w:val="21"/>
          <w:szCs w:val="21"/>
          <w:lang w:val="en-GB"/>
        </w:rPr>
        <w:t xml:space="preserve">positive </w:t>
      </w:r>
      <w:r w:rsidR="009B768E" w:rsidRPr="000121EC">
        <w:rPr>
          <w:rFonts w:cs="Arial"/>
          <w:color w:val="auto"/>
          <w:sz w:val="21"/>
          <w:szCs w:val="21"/>
          <w:lang w:val="en-GB"/>
        </w:rPr>
        <w:t xml:space="preserve">surprises in </w:t>
      </w:r>
      <w:r w:rsidR="002F7A2B" w:rsidRPr="000121EC">
        <w:rPr>
          <w:rFonts w:cs="Arial"/>
          <w:color w:val="auto"/>
          <w:sz w:val="21"/>
          <w:szCs w:val="21"/>
          <w:lang w:val="en-GB"/>
        </w:rPr>
        <w:t>shock-year</w:t>
      </w:r>
      <w:r w:rsidR="009B768E" w:rsidRPr="000121EC">
        <w:rPr>
          <w:rFonts w:cs="Arial"/>
          <w:color w:val="auto"/>
          <w:sz w:val="21"/>
          <w:szCs w:val="21"/>
          <w:lang w:val="en-GB"/>
        </w:rPr>
        <w:t>s</w:t>
      </w:r>
      <w:r w:rsidR="002F7A2B" w:rsidRPr="000121EC">
        <w:rPr>
          <w:rFonts w:cs="Arial"/>
          <w:color w:val="auto"/>
          <w:sz w:val="21"/>
          <w:szCs w:val="21"/>
          <w:lang w:val="en-GB"/>
        </w:rPr>
        <w:t>.</w:t>
      </w:r>
      <w:r w:rsidR="006E0C8E" w:rsidRPr="000121EC">
        <w:rPr>
          <w:rFonts w:cs="Arial"/>
          <w:color w:val="auto"/>
          <w:sz w:val="21"/>
          <w:szCs w:val="21"/>
          <w:lang w:val="en-GB"/>
        </w:rPr>
        <w:t xml:space="preserve"> </w:t>
      </w:r>
      <w:r w:rsidR="00DD07D5" w:rsidRPr="000121EC">
        <w:rPr>
          <w:rFonts w:cs="Arial"/>
          <w:color w:val="auto"/>
          <w:sz w:val="21"/>
          <w:szCs w:val="21"/>
          <w:lang w:val="en-GB"/>
        </w:rPr>
        <w:t xml:space="preserve">We do not find such results for </w:t>
      </w:r>
      <w:r w:rsidR="00E9483E" w:rsidRPr="000121EC">
        <w:rPr>
          <w:rFonts w:cs="Arial"/>
          <w:color w:val="auto"/>
          <w:sz w:val="21"/>
          <w:szCs w:val="21"/>
          <w:lang w:val="en-GB"/>
        </w:rPr>
        <w:t xml:space="preserve">AI-related equity investment and exposure to </w:t>
      </w:r>
      <w:r w:rsidR="00DD07D5" w:rsidRPr="000121EC">
        <w:rPr>
          <w:rFonts w:cs="Arial"/>
          <w:color w:val="auto"/>
          <w:sz w:val="21"/>
          <w:szCs w:val="21"/>
          <w:lang w:val="en-GB"/>
        </w:rPr>
        <w:t>semiconductor stock market movements</w:t>
      </w:r>
      <w:r w:rsidR="004729F6" w:rsidRPr="000121EC">
        <w:rPr>
          <w:rFonts w:cs="Arial"/>
          <w:color w:val="auto"/>
          <w:sz w:val="21"/>
          <w:szCs w:val="21"/>
          <w:lang w:val="en-GB"/>
        </w:rPr>
        <w:t>.</w:t>
      </w:r>
      <w:r w:rsidR="00DD07D5" w:rsidRPr="000121EC">
        <w:rPr>
          <w:rFonts w:cs="Arial"/>
          <w:color w:val="auto"/>
          <w:sz w:val="21"/>
          <w:szCs w:val="21"/>
          <w:lang w:val="en-GB"/>
        </w:rPr>
        <w:t xml:space="preserve"> </w:t>
      </w:r>
      <w:r w:rsidR="008F3817" w:rsidRPr="000121EC">
        <w:rPr>
          <w:rFonts w:cs="Arial"/>
          <w:color w:val="auto"/>
          <w:sz w:val="21"/>
          <w:szCs w:val="21"/>
          <w:lang w:val="en-GB"/>
        </w:rPr>
        <w:t>W</w:t>
      </w:r>
      <w:r w:rsidR="007A085B" w:rsidRPr="000121EC">
        <w:rPr>
          <w:rFonts w:cs="Arial"/>
          <w:color w:val="auto"/>
          <w:sz w:val="21"/>
          <w:szCs w:val="21"/>
          <w:lang w:val="en-GB"/>
        </w:rPr>
        <w:t xml:space="preserve">e conclude that economic </w:t>
      </w:r>
      <w:r w:rsidR="006E0C8E" w:rsidRPr="000121EC">
        <w:rPr>
          <w:rFonts w:cs="Arial"/>
          <w:color w:val="auto"/>
          <w:sz w:val="21"/>
          <w:szCs w:val="21"/>
          <w:lang w:val="en-GB"/>
        </w:rPr>
        <w:t xml:space="preserve">resilience </w:t>
      </w:r>
      <w:r w:rsidR="007A085B" w:rsidRPr="000121EC">
        <w:rPr>
          <w:rFonts w:cs="Arial"/>
          <w:color w:val="auto"/>
          <w:sz w:val="21"/>
          <w:szCs w:val="21"/>
          <w:lang w:val="en-GB"/>
        </w:rPr>
        <w:t xml:space="preserve">owing to </w:t>
      </w:r>
      <w:r w:rsidR="00FE5665" w:rsidRPr="000121EC">
        <w:rPr>
          <w:rFonts w:cs="Arial"/>
          <w:color w:val="auto"/>
          <w:sz w:val="21"/>
          <w:szCs w:val="21"/>
          <w:lang w:val="en-GB"/>
        </w:rPr>
        <w:t>ICT</w:t>
      </w:r>
      <w:r w:rsidR="001B4139">
        <w:rPr>
          <w:rFonts w:cs="Arial"/>
          <w:color w:val="auto"/>
          <w:sz w:val="21"/>
          <w:szCs w:val="21"/>
          <w:lang w:val="en-GB"/>
        </w:rPr>
        <w:t>/</w:t>
      </w:r>
      <w:r w:rsidR="00FE5665" w:rsidRPr="000121EC">
        <w:rPr>
          <w:rFonts w:cs="Arial"/>
          <w:color w:val="auto"/>
          <w:sz w:val="21"/>
          <w:szCs w:val="21"/>
          <w:lang w:val="en-GB"/>
        </w:rPr>
        <w:t xml:space="preserve">AI activities </w:t>
      </w:r>
      <w:r w:rsidR="006E0C8E" w:rsidRPr="000121EC">
        <w:rPr>
          <w:rFonts w:cs="Arial"/>
          <w:color w:val="auto"/>
          <w:sz w:val="21"/>
          <w:szCs w:val="21"/>
          <w:lang w:val="en-GB"/>
        </w:rPr>
        <w:t>is channel-specific.</w:t>
      </w:r>
    </w:p>
    <w:p w14:paraId="1EA5167F" w14:textId="77777777" w:rsidR="00FB41F5" w:rsidRDefault="00FB41F5" w:rsidP="00F50C96">
      <w:pPr>
        <w:pStyle w:val="AbstractText"/>
        <w:spacing w:after="0" w:line="360" w:lineRule="auto"/>
        <w:ind w:left="720"/>
        <w:jc w:val="both"/>
        <w:rPr>
          <w:rFonts w:cs="Arial"/>
          <w:b/>
          <w:color w:val="auto"/>
          <w:sz w:val="21"/>
          <w:szCs w:val="21"/>
          <w:lang w:val="en-GB"/>
        </w:rPr>
      </w:pPr>
    </w:p>
    <w:p w14:paraId="18B8B23F" w14:textId="77777777" w:rsidR="00BE4C69" w:rsidRPr="000121EC" w:rsidRDefault="00BE4C69" w:rsidP="00F50C96">
      <w:pPr>
        <w:pStyle w:val="AbstractText"/>
        <w:spacing w:after="0" w:line="360" w:lineRule="auto"/>
        <w:ind w:left="720"/>
        <w:jc w:val="both"/>
        <w:rPr>
          <w:rFonts w:cs="Arial"/>
          <w:b/>
          <w:color w:val="auto"/>
          <w:sz w:val="21"/>
          <w:szCs w:val="21"/>
          <w:lang w:val="en-GB"/>
        </w:rPr>
      </w:pPr>
    </w:p>
    <w:p w14:paraId="3BE95F25" w14:textId="6C4E77F4" w:rsidR="008942F8" w:rsidRPr="000121EC" w:rsidRDefault="002F7A2B" w:rsidP="00F50C96">
      <w:pPr>
        <w:pStyle w:val="Heading1"/>
        <w:spacing w:before="0" w:after="0" w:line="360" w:lineRule="auto"/>
        <w:ind w:left="720"/>
        <w:jc w:val="both"/>
        <w:rPr>
          <w:rFonts w:ascii="Arial" w:hAnsi="Arial" w:cs="Arial"/>
          <w:color w:val="auto"/>
          <w:sz w:val="21"/>
          <w:szCs w:val="21"/>
        </w:rPr>
      </w:pPr>
      <w:r w:rsidRPr="000121EC">
        <w:rPr>
          <w:rFonts w:ascii="Arial" w:hAnsi="Arial" w:cs="Arial"/>
          <w:color w:val="auto"/>
          <w:sz w:val="21"/>
          <w:szCs w:val="21"/>
        </w:rPr>
        <w:t>1. Introduction</w:t>
      </w:r>
    </w:p>
    <w:p w14:paraId="02F3F10D" w14:textId="25D2F0D6" w:rsidR="008942F8" w:rsidRDefault="002F7A2B" w:rsidP="00A238A2">
      <w:pPr>
        <w:spacing w:after="0" w:line="360" w:lineRule="auto"/>
        <w:ind w:left="720"/>
        <w:jc w:val="both"/>
        <w:rPr>
          <w:rFonts w:cs="Arial"/>
          <w:szCs w:val="21"/>
        </w:rPr>
      </w:pPr>
      <w:r w:rsidRPr="000121EC">
        <w:rPr>
          <w:rFonts w:cs="Arial"/>
          <w:szCs w:val="21"/>
        </w:rPr>
        <w:t xml:space="preserve">The semiconductor and AI-related technology cycle has expanded rapidly </w:t>
      </w:r>
      <w:r w:rsidR="0057485B" w:rsidRPr="000121EC">
        <w:rPr>
          <w:rFonts w:cs="Arial"/>
          <w:szCs w:val="21"/>
        </w:rPr>
        <w:t xml:space="preserve">since </w:t>
      </w:r>
      <w:r w:rsidR="00A238A2" w:rsidRPr="000121EC">
        <w:rPr>
          <w:rFonts w:cs="Arial"/>
          <w:szCs w:val="21"/>
        </w:rPr>
        <w:t xml:space="preserve">the mid-2010s </w:t>
      </w:r>
      <w:r w:rsidRPr="000121EC">
        <w:rPr>
          <w:rFonts w:cs="Arial"/>
          <w:szCs w:val="21"/>
        </w:rPr>
        <w:t xml:space="preserve">despite a </w:t>
      </w:r>
      <w:r w:rsidR="00DC0C76" w:rsidRPr="000121EC">
        <w:rPr>
          <w:rFonts w:cs="Arial"/>
          <w:szCs w:val="21"/>
        </w:rPr>
        <w:t>series</w:t>
      </w:r>
      <w:r w:rsidRPr="000121EC">
        <w:rPr>
          <w:rFonts w:cs="Arial"/>
          <w:szCs w:val="21"/>
        </w:rPr>
        <w:t xml:space="preserve"> of large global </w:t>
      </w:r>
      <w:r w:rsidR="003D0A5B" w:rsidRPr="000121EC">
        <w:rPr>
          <w:rFonts w:cs="Arial"/>
          <w:szCs w:val="21"/>
        </w:rPr>
        <w:t>shocks</w:t>
      </w:r>
      <w:r w:rsidRPr="000121EC">
        <w:rPr>
          <w:rFonts w:cs="Arial"/>
          <w:szCs w:val="21"/>
        </w:rPr>
        <w:t>. The COVID-19 pandemic, the energy and inflation shock</w:t>
      </w:r>
      <w:r w:rsidR="00AB117F" w:rsidRPr="000121EC">
        <w:rPr>
          <w:rFonts w:cs="Arial"/>
          <w:szCs w:val="21"/>
        </w:rPr>
        <w:t xml:space="preserve"> and</w:t>
      </w:r>
      <w:r w:rsidRPr="000121EC">
        <w:rPr>
          <w:rFonts w:cs="Arial"/>
          <w:szCs w:val="21"/>
        </w:rPr>
        <w:t xml:space="preserve"> geopolitical tensions all </w:t>
      </w:r>
      <w:r w:rsidR="00EA63DB" w:rsidRPr="000121EC">
        <w:rPr>
          <w:rFonts w:cs="Arial"/>
          <w:szCs w:val="21"/>
        </w:rPr>
        <w:t>impacted</w:t>
      </w:r>
      <w:r w:rsidRPr="000121EC">
        <w:rPr>
          <w:rFonts w:cs="Arial"/>
          <w:szCs w:val="21"/>
        </w:rPr>
        <w:t xml:space="preserve"> the macroeconomic outlook. Yet the relative performance of semiconductor </w:t>
      </w:r>
      <w:r w:rsidR="00124317" w:rsidRPr="000121EC">
        <w:rPr>
          <w:rFonts w:cs="Arial"/>
          <w:szCs w:val="21"/>
        </w:rPr>
        <w:t>stock index</w:t>
      </w:r>
      <w:r w:rsidRPr="000121EC">
        <w:rPr>
          <w:rFonts w:cs="Arial"/>
          <w:szCs w:val="21"/>
        </w:rPr>
        <w:t xml:space="preserve"> remained on a pronounced upward path, even as global uncertainty </w:t>
      </w:r>
      <w:r w:rsidR="006453C7" w:rsidRPr="000121EC">
        <w:rPr>
          <w:rFonts w:cs="Arial"/>
          <w:szCs w:val="21"/>
        </w:rPr>
        <w:t>occasionally spiked</w:t>
      </w:r>
      <w:r w:rsidRPr="000121EC">
        <w:rPr>
          <w:rFonts w:cs="Arial"/>
          <w:szCs w:val="21"/>
        </w:rPr>
        <w:t xml:space="preserve"> (Figure 1). This motivates the </w:t>
      </w:r>
      <w:r w:rsidR="00CF2C5E" w:rsidRPr="000121EC">
        <w:rPr>
          <w:rFonts w:cs="Arial"/>
          <w:szCs w:val="21"/>
        </w:rPr>
        <w:t>research</w:t>
      </w:r>
      <w:r w:rsidRPr="000121EC">
        <w:rPr>
          <w:rFonts w:cs="Arial"/>
          <w:szCs w:val="21"/>
        </w:rPr>
        <w:t xml:space="preserve"> question</w:t>
      </w:r>
      <w:r w:rsidR="00CF2C5E" w:rsidRPr="000121EC">
        <w:rPr>
          <w:rFonts w:cs="Arial"/>
          <w:szCs w:val="21"/>
        </w:rPr>
        <w:t xml:space="preserve"> whether </w:t>
      </w:r>
      <w:r w:rsidR="00D12659" w:rsidRPr="000121EC">
        <w:rPr>
          <w:rFonts w:cs="Arial"/>
          <w:szCs w:val="21"/>
        </w:rPr>
        <w:t xml:space="preserve">greater </w:t>
      </w:r>
      <w:r w:rsidRPr="000121EC">
        <w:rPr>
          <w:rFonts w:cs="Arial"/>
          <w:szCs w:val="21"/>
        </w:rPr>
        <w:t>exposure to ICT- and AI-related activity make econom</w:t>
      </w:r>
      <w:r w:rsidR="00232BA3" w:rsidRPr="000121EC">
        <w:rPr>
          <w:rFonts w:cs="Arial"/>
          <w:szCs w:val="21"/>
        </w:rPr>
        <w:t>ies</w:t>
      </w:r>
      <w:r w:rsidRPr="000121EC">
        <w:rPr>
          <w:rFonts w:cs="Arial"/>
          <w:szCs w:val="21"/>
        </w:rPr>
        <w:t xml:space="preserve"> more resilient to shocks</w:t>
      </w:r>
      <w:r w:rsidR="00A959E4" w:rsidRPr="000121EC">
        <w:rPr>
          <w:rFonts w:cs="Arial"/>
          <w:szCs w:val="21"/>
        </w:rPr>
        <w:t>.</w:t>
      </w:r>
    </w:p>
    <w:p w14:paraId="2B5B304E" w14:textId="77777777" w:rsidR="00AB2A14" w:rsidRDefault="00AB2A14" w:rsidP="00A238A2">
      <w:pPr>
        <w:spacing w:after="0" w:line="360" w:lineRule="auto"/>
        <w:ind w:left="720"/>
        <w:jc w:val="both"/>
        <w:rPr>
          <w:rFonts w:cs="Arial"/>
          <w:szCs w:val="21"/>
        </w:rPr>
      </w:pPr>
    </w:p>
    <w:p w14:paraId="35C24134" w14:textId="77777777" w:rsidR="00AB2A14" w:rsidRPr="000121EC" w:rsidRDefault="00AB2A14" w:rsidP="00AB2A14">
      <w:pPr>
        <w:pStyle w:val="Caption"/>
        <w:spacing w:before="0" w:after="0"/>
        <w:ind w:left="720"/>
        <w:jc w:val="both"/>
        <w:rPr>
          <w:rFonts w:cs="Arial"/>
          <w:color w:val="auto"/>
          <w:sz w:val="21"/>
          <w:szCs w:val="21"/>
        </w:rPr>
      </w:pPr>
      <w:r w:rsidRPr="000121EC">
        <w:rPr>
          <w:rFonts w:cs="Arial"/>
          <w:color w:val="auto"/>
          <w:sz w:val="21"/>
          <w:szCs w:val="21"/>
        </w:rPr>
        <w:lastRenderedPageBreak/>
        <w:t>Figure 1. Semiconductor-sector performance and global uncertainty</w:t>
      </w:r>
    </w:p>
    <w:p w14:paraId="637334B2" w14:textId="77777777" w:rsidR="008942F8" w:rsidRPr="000121EC" w:rsidRDefault="002F7A2B" w:rsidP="00AB2A14">
      <w:pPr>
        <w:spacing w:after="0" w:line="240" w:lineRule="auto"/>
        <w:ind w:left="720"/>
        <w:jc w:val="both"/>
        <w:rPr>
          <w:rFonts w:cs="Arial"/>
          <w:szCs w:val="21"/>
        </w:rPr>
      </w:pPr>
      <w:r w:rsidRPr="000121EC">
        <w:rPr>
          <w:rFonts w:cs="Arial"/>
          <w:noProof/>
          <w:szCs w:val="21"/>
        </w:rPr>
        <w:drawing>
          <wp:inline distT="0" distB="0" distL="0" distR="0" wp14:anchorId="3AAD66F3" wp14:editId="2369F570">
            <wp:extent cx="3810881" cy="3040141"/>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png"/>
                    <pic:cNvPicPr/>
                  </pic:nvPicPr>
                  <pic:blipFill>
                    <a:blip r:embed="rId8"/>
                    <a:stretch>
                      <a:fillRect/>
                    </a:stretch>
                  </pic:blipFill>
                  <pic:spPr>
                    <a:xfrm>
                      <a:off x="0" y="0"/>
                      <a:ext cx="3816826" cy="3044884"/>
                    </a:xfrm>
                    <a:prstGeom prst="rect">
                      <a:avLst/>
                    </a:prstGeom>
                  </pic:spPr>
                </pic:pic>
              </a:graphicData>
            </a:graphic>
          </wp:inline>
        </w:drawing>
      </w:r>
    </w:p>
    <w:p w14:paraId="47A1C3BC" w14:textId="03ADEEA1" w:rsidR="008942F8" w:rsidRPr="00AB2A14" w:rsidRDefault="002F7A2B" w:rsidP="00AB2A14">
      <w:pPr>
        <w:pStyle w:val="TableNote"/>
        <w:spacing w:after="0"/>
        <w:ind w:left="720"/>
        <w:jc w:val="both"/>
        <w:rPr>
          <w:rFonts w:cs="Arial"/>
          <w:i/>
          <w:color w:val="auto"/>
          <w:sz w:val="21"/>
          <w:szCs w:val="21"/>
          <w:lang w:val="en-GB"/>
        </w:rPr>
      </w:pPr>
      <w:r w:rsidRPr="00AB2A14">
        <w:rPr>
          <w:rFonts w:cs="Arial"/>
          <w:i/>
          <w:color w:val="auto"/>
          <w:sz w:val="21"/>
          <w:szCs w:val="21"/>
          <w:lang w:val="en-GB"/>
        </w:rPr>
        <w:t xml:space="preserve">Note: The semiconductor series is the SOX index relative to the STOXX Europe 600; global uncertainty is a standardised composite of the </w:t>
      </w:r>
      <w:r w:rsidR="008730E1" w:rsidRPr="00AB2A14">
        <w:rPr>
          <w:rFonts w:cs="Arial"/>
          <w:i/>
          <w:color w:val="auto"/>
          <w:sz w:val="21"/>
          <w:szCs w:val="21"/>
          <w:lang w:val="en-GB"/>
        </w:rPr>
        <w:t xml:space="preserve">EPU, GPR and VIX </w:t>
      </w:r>
      <w:r w:rsidR="00971E70" w:rsidRPr="00AB2A14">
        <w:rPr>
          <w:rFonts w:cs="Arial"/>
          <w:i/>
          <w:color w:val="auto"/>
          <w:sz w:val="21"/>
          <w:szCs w:val="21"/>
          <w:lang w:val="en-GB"/>
        </w:rPr>
        <w:t>uncertainty</w:t>
      </w:r>
      <w:r w:rsidRPr="00AB2A14">
        <w:rPr>
          <w:rFonts w:cs="Arial"/>
          <w:i/>
          <w:color w:val="auto"/>
          <w:sz w:val="21"/>
          <w:szCs w:val="21"/>
          <w:lang w:val="en-GB"/>
        </w:rPr>
        <w:t xml:space="preserve"> indices.</w:t>
      </w:r>
    </w:p>
    <w:p w14:paraId="214527D9" w14:textId="77777777" w:rsidR="00FB41F5" w:rsidRPr="000121EC" w:rsidRDefault="00FB41F5" w:rsidP="00F50C96">
      <w:pPr>
        <w:spacing w:after="0" w:line="360" w:lineRule="auto"/>
        <w:ind w:left="720"/>
        <w:jc w:val="both"/>
        <w:rPr>
          <w:rFonts w:cs="Arial"/>
          <w:szCs w:val="21"/>
        </w:rPr>
      </w:pPr>
    </w:p>
    <w:p w14:paraId="23DECFF3" w14:textId="6AB85C39" w:rsidR="008942F8" w:rsidRPr="000121EC" w:rsidRDefault="002F7A2B" w:rsidP="00F50C96">
      <w:pPr>
        <w:spacing w:after="0" w:line="360" w:lineRule="auto"/>
        <w:ind w:left="720"/>
        <w:jc w:val="both"/>
        <w:rPr>
          <w:rFonts w:cs="Arial"/>
          <w:szCs w:val="21"/>
        </w:rPr>
      </w:pPr>
      <w:r w:rsidRPr="000121EC">
        <w:rPr>
          <w:rFonts w:cs="Arial"/>
          <w:szCs w:val="21"/>
        </w:rPr>
        <w:t xml:space="preserve">We </w:t>
      </w:r>
      <w:r w:rsidR="00971E70" w:rsidRPr="000121EC">
        <w:rPr>
          <w:rFonts w:cs="Arial"/>
          <w:szCs w:val="21"/>
        </w:rPr>
        <w:t xml:space="preserve">analyse </w:t>
      </w:r>
      <w:r w:rsidR="008641BE" w:rsidRPr="000121EC">
        <w:rPr>
          <w:rFonts w:cs="Arial"/>
          <w:szCs w:val="21"/>
        </w:rPr>
        <w:t>the</w:t>
      </w:r>
      <w:r w:rsidR="00971E70" w:rsidRPr="000121EC">
        <w:rPr>
          <w:rFonts w:cs="Arial"/>
          <w:szCs w:val="21"/>
        </w:rPr>
        <w:t xml:space="preserve"> </w:t>
      </w:r>
      <w:r w:rsidRPr="000121EC">
        <w:rPr>
          <w:rFonts w:cs="Arial"/>
          <w:szCs w:val="21"/>
        </w:rPr>
        <w:t xml:space="preserve">question by </w:t>
      </w:r>
      <w:r w:rsidR="00805C7D" w:rsidRPr="000121EC">
        <w:rPr>
          <w:rFonts w:cs="Arial"/>
          <w:szCs w:val="21"/>
        </w:rPr>
        <w:t>relating ICT/AI-related activity to</w:t>
      </w:r>
      <w:r w:rsidRPr="000121EC">
        <w:rPr>
          <w:rFonts w:cs="Arial"/>
          <w:szCs w:val="21"/>
        </w:rPr>
        <w:t xml:space="preserve"> </w:t>
      </w:r>
      <w:r w:rsidR="00805C7D" w:rsidRPr="000121EC">
        <w:rPr>
          <w:rFonts w:cs="Arial"/>
          <w:szCs w:val="21"/>
        </w:rPr>
        <w:t>GDP growth</w:t>
      </w:r>
      <w:r w:rsidR="00113F41">
        <w:rPr>
          <w:rFonts w:cs="Arial"/>
          <w:szCs w:val="21"/>
        </w:rPr>
        <w:t xml:space="preserve"> surprises</w:t>
      </w:r>
      <w:r w:rsidRPr="000121EC">
        <w:rPr>
          <w:rFonts w:cs="Arial"/>
          <w:szCs w:val="21"/>
        </w:rPr>
        <w:t xml:space="preserve">. </w:t>
      </w:r>
      <w:r w:rsidR="00726808" w:rsidRPr="000121EC">
        <w:rPr>
          <w:rFonts w:cs="Arial"/>
          <w:szCs w:val="21"/>
        </w:rPr>
        <w:t xml:space="preserve">In our study, </w:t>
      </w:r>
      <w:r w:rsidR="00672460" w:rsidRPr="000121EC">
        <w:rPr>
          <w:rFonts w:cs="Arial"/>
          <w:szCs w:val="21"/>
        </w:rPr>
        <w:t>a</w:t>
      </w:r>
      <w:r w:rsidRPr="000121EC">
        <w:rPr>
          <w:rFonts w:cs="Arial"/>
          <w:szCs w:val="21"/>
        </w:rPr>
        <w:t xml:space="preserve"> positive growth surprise </w:t>
      </w:r>
      <w:r w:rsidR="00C9361D" w:rsidRPr="000121EC">
        <w:rPr>
          <w:rFonts w:cs="Arial"/>
          <w:szCs w:val="21"/>
        </w:rPr>
        <w:t xml:space="preserve">is associated with </w:t>
      </w:r>
      <w:r w:rsidRPr="000121EC">
        <w:rPr>
          <w:rFonts w:cs="Arial"/>
          <w:szCs w:val="21"/>
        </w:rPr>
        <w:t>realised real GDP growth exceed</w:t>
      </w:r>
      <w:r w:rsidR="00531458" w:rsidRPr="000121EC">
        <w:rPr>
          <w:rFonts w:cs="Arial"/>
          <w:szCs w:val="21"/>
        </w:rPr>
        <w:t>ing</w:t>
      </w:r>
      <w:r w:rsidRPr="000121EC">
        <w:rPr>
          <w:rFonts w:cs="Arial"/>
          <w:szCs w:val="21"/>
        </w:rPr>
        <w:t xml:space="preserve"> the European Commission forecast</w:t>
      </w:r>
      <w:r w:rsidR="006F5A5B" w:rsidRPr="000121EC">
        <w:rPr>
          <w:rFonts w:cs="Arial"/>
          <w:szCs w:val="21"/>
        </w:rPr>
        <w:t xml:space="preserve"> </w:t>
      </w:r>
      <w:r w:rsidR="007A2CF5" w:rsidRPr="000121EC">
        <w:rPr>
          <w:rFonts w:cs="Arial"/>
          <w:szCs w:val="21"/>
        </w:rPr>
        <w:t>of</w:t>
      </w:r>
      <w:r w:rsidR="006F5A5B" w:rsidRPr="000121EC">
        <w:rPr>
          <w:rFonts w:cs="Arial"/>
          <w:szCs w:val="21"/>
        </w:rPr>
        <w:t xml:space="preserve"> a countries’ GDP growth</w:t>
      </w:r>
      <w:r w:rsidRPr="000121EC">
        <w:rPr>
          <w:rFonts w:cs="Arial"/>
          <w:szCs w:val="21"/>
        </w:rPr>
        <w:t xml:space="preserve">. Forecasts embed the information and expectations prevailing when they were produced. Outperformance therefore </w:t>
      </w:r>
      <w:r w:rsidR="00EA2BA1" w:rsidRPr="000121EC">
        <w:rPr>
          <w:rFonts w:cs="Arial"/>
          <w:szCs w:val="21"/>
        </w:rPr>
        <w:t>implies</w:t>
      </w:r>
      <w:r w:rsidRPr="000121EC">
        <w:rPr>
          <w:rFonts w:cs="Arial"/>
          <w:szCs w:val="21"/>
        </w:rPr>
        <w:t xml:space="preserve"> that an economy evolved more favourably than the forecaster anticipated. It is </w:t>
      </w:r>
      <w:r w:rsidR="00AB7E7B" w:rsidRPr="000121EC">
        <w:rPr>
          <w:rFonts w:cs="Arial"/>
          <w:szCs w:val="21"/>
        </w:rPr>
        <w:t xml:space="preserve">thus </w:t>
      </w:r>
      <w:r w:rsidR="00672460" w:rsidRPr="000121EC">
        <w:rPr>
          <w:rFonts w:cs="Arial"/>
          <w:szCs w:val="21"/>
        </w:rPr>
        <w:t>a</w:t>
      </w:r>
      <w:r w:rsidR="00C16632" w:rsidRPr="000121EC">
        <w:rPr>
          <w:rFonts w:cs="Arial"/>
          <w:szCs w:val="21"/>
        </w:rPr>
        <w:t>n expectations-based</w:t>
      </w:r>
      <w:r w:rsidR="00672460" w:rsidRPr="000121EC">
        <w:rPr>
          <w:rFonts w:cs="Arial"/>
          <w:szCs w:val="21"/>
        </w:rPr>
        <w:t xml:space="preserve"> proxy for economic </w:t>
      </w:r>
      <w:r w:rsidRPr="000121EC">
        <w:rPr>
          <w:rFonts w:cs="Arial"/>
          <w:szCs w:val="21"/>
        </w:rPr>
        <w:t>resilience</w:t>
      </w:r>
      <w:r w:rsidR="00E25940" w:rsidRPr="000121EC">
        <w:rPr>
          <w:rFonts w:cs="Arial"/>
          <w:szCs w:val="21"/>
        </w:rPr>
        <w:t xml:space="preserve">, </w:t>
      </w:r>
      <w:r w:rsidR="00E25940" w:rsidRPr="000121EC">
        <w:rPr>
          <w:rFonts w:cs="Arial"/>
          <w:szCs w:val="21"/>
        </w:rPr>
        <w:t xml:space="preserve">commonly understood as an economy’s capacity to </w:t>
      </w:r>
      <w:r w:rsidR="00477162" w:rsidRPr="000121EC">
        <w:rPr>
          <w:rFonts w:cs="Arial"/>
          <w:szCs w:val="21"/>
        </w:rPr>
        <w:t>bounce back from negative shocks (Eichengreen et al., 2024)</w:t>
      </w:r>
      <w:r w:rsidR="00477162" w:rsidRPr="000121EC">
        <w:rPr>
          <w:rFonts w:cs="Arial"/>
          <w:szCs w:val="21"/>
        </w:rPr>
        <w:t>.</w:t>
      </w:r>
    </w:p>
    <w:p w14:paraId="28432E34" w14:textId="77777777" w:rsidR="00EC747B" w:rsidRPr="000121EC" w:rsidRDefault="00EC747B" w:rsidP="00F50C96">
      <w:pPr>
        <w:spacing w:after="0" w:line="360" w:lineRule="auto"/>
        <w:ind w:left="720"/>
        <w:jc w:val="both"/>
        <w:rPr>
          <w:rFonts w:cs="Arial"/>
          <w:szCs w:val="21"/>
        </w:rPr>
      </w:pPr>
    </w:p>
    <w:p w14:paraId="5096D16B" w14:textId="1C77C741" w:rsidR="006E0DCB" w:rsidRPr="000121EC" w:rsidRDefault="00751348" w:rsidP="00F50C96">
      <w:pPr>
        <w:spacing w:after="0" w:line="360" w:lineRule="auto"/>
        <w:ind w:left="720"/>
        <w:jc w:val="both"/>
        <w:rPr>
          <w:rFonts w:cs="Arial"/>
          <w:szCs w:val="21"/>
        </w:rPr>
      </w:pPr>
      <w:r w:rsidRPr="000121EC">
        <w:rPr>
          <w:rFonts w:cs="Arial"/>
          <w:szCs w:val="21"/>
        </w:rPr>
        <w:t>We examine four channels through which ICT</w:t>
      </w:r>
      <w:r w:rsidR="002C2370" w:rsidRPr="000121EC">
        <w:rPr>
          <w:rFonts w:cs="Arial"/>
          <w:szCs w:val="21"/>
        </w:rPr>
        <w:t>/</w:t>
      </w:r>
      <w:r w:rsidRPr="000121EC">
        <w:rPr>
          <w:rFonts w:cs="Arial"/>
          <w:szCs w:val="21"/>
        </w:rPr>
        <w:t>AI exposure may shape resilience</w:t>
      </w:r>
      <w:r w:rsidR="000D7244" w:rsidRPr="000121EC">
        <w:rPr>
          <w:rFonts w:cs="Arial"/>
          <w:szCs w:val="21"/>
        </w:rPr>
        <w:t>:</w:t>
      </w:r>
      <w:r w:rsidRPr="000121EC">
        <w:rPr>
          <w:rFonts w:cs="Arial"/>
          <w:szCs w:val="21"/>
        </w:rPr>
        <w:t xml:space="preserve"> </w:t>
      </w:r>
      <w:r w:rsidR="00B52AEF" w:rsidRPr="000121EC">
        <w:rPr>
          <w:rFonts w:cs="Arial"/>
          <w:szCs w:val="21"/>
        </w:rPr>
        <w:t>1</w:t>
      </w:r>
      <w:r w:rsidR="00413CF1" w:rsidRPr="000121EC">
        <w:rPr>
          <w:rFonts w:cs="Arial"/>
          <w:szCs w:val="21"/>
        </w:rPr>
        <w:t xml:space="preserve">) </w:t>
      </w:r>
      <w:r w:rsidRPr="000121EC">
        <w:rPr>
          <w:rFonts w:cs="Arial"/>
          <w:szCs w:val="21"/>
        </w:rPr>
        <w:t xml:space="preserve">ICT/AI investment </w:t>
      </w:r>
      <w:r w:rsidR="00A44B5E" w:rsidRPr="000121EC">
        <w:rPr>
          <w:rFonts w:cs="Arial"/>
          <w:szCs w:val="21"/>
        </w:rPr>
        <w:t xml:space="preserve">of firms. This </w:t>
      </w:r>
      <w:r w:rsidRPr="000121EC">
        <w:rPr>
          <w:rFonts w:cs="Arial"/>
          <w:szCs w:val="21"/>
        </w:rPr>
        <w:t xml:space="preserve">captures </w:t>
      </w:r>
      <w:r w:rsidR="00A44B5E" w:rsidRPr="000121EC">
        <w:rPr>
          <w:rFonts w:cs="Arial"/>
          <w:szCs w:val="21"/>
        </w:rPr>
        <w:t xml:space="preserve">the </w:t>
      </w:r>
      <w:r w:rsidRPr="000121EC">
        <w:rPr>
          <w:rFonts w:cs="Arial"/>
          <w:szCs w:val="21"/>
        </w:rPr>
        <w:t>digital capacit</w:t>
      </w:r>
      <w:r w:rsidR="002C2370" w:rsidRPr="000121EC">
        <w:rPr>
          <w:rFonts w:cs="Arial"/>
          <w:szCs w:val="21"/>
        </w:rPr>
        <w:t>ies</w:t>
      </w:r>
      <w:r w:rsidR="00A44B5E" w:rsidRPr="000121EC">
        <w:rPr>
          <w:rFonts w:cs="Arial"/>
          <w:szCs w:val="21"/>
        </w:rPr>
        <w:t xml:space="preserve"> of an economy</w:t>
      </w:r>
      <w:r w:rsidR="0023242E" w:rsidRPr="000121EC">
        <w:rPr>
          <w:rFonts w:cs="Arial"/>
          <w:szCs w:val="21"/>
        </w:rPr>
        <w:t>, which can i</w:t>
      </w:r>
      <w:r w:rsidR="005418E8" w:rsidRPr="000121EC">
        <w:rPr>
          <w:rFonts w:cs="Arial"/>
          <w:szCs w:val="21"/>
        </w:rPr>
        <w:t xml:space="preserve">mprove </w:t>
      </w:r>
      <w:r w:rsidR="00A44B5E" w:rsidRPr="000121EC">
        <w:rPr>
          <w:rFonts w:cs="Arial"/>
          <w:szCs w:val="21"/>
        </w:rPr>
        <w:t>the</w:t>
      </w:r>
      <w:r w:rsidRPr="000121EC">
        <w:rPr>
          <w:rFonts w:cs="Arial"/>
          <w:szCs w:val="21"/>
        </w:rPr>
        <w:t xml:space="preserve"> flexibility</w:t>
      </w:r>
      <w:r w:rsidR="005418E8" w:rsidRPr="000121EC">
        <w:rPr>
          <w:rFonts w:cs="Arial"/>
          <w:szCs w:val="21"/>
        </w:rPr>
        <w:t xml:space="preserve"> to respond to shocks</w:t>
      </w:r>
      <w:r w:rsidR="000D7244" w:rsidRPr="000121EC">
        <w:rPr>
          <w:rFonts w:cs="Arial"/>
          <w:szCs w:val="21"/>
        </w:rPr>
        <w:t>;</w:t>
      </w:r>
      <w:r w:rsidR="005418E8" w:rsidRPr="000121EC">
        <w:rPr>
          <w:rFonts w:cs="Arial"/>
          <w:szCs w:val="21"/>
        </w:rPr>
        <w:t xml:space="preserve"> </w:t>
      </w:r>
      <w:r w:rsidR="00B52AEF" w:rsidRPr="000121EC">
        <w:rPr>
          <w:rFonts w:cs="Arial"/>
          <w:szCs w:val="21"/>
        </w:rPr>
        <w:t>2</w:t>
      </w:r>
      <w:r w:rsidR="00A44B5E" w:rsidRPr="000121EC">
        <w:rPr>
          <w:rFonts w:cs="Arial"/>
          <w:szCs w:val="21"/>
        </w:rPr>
        <w:t xml:space="preserve">) </w:t>
      </w:r>
      <w:r w:rsidR="005418E8" w:rsidRPr="000121EC">
        <w:rPr>
          <w:rFonts w:cs="Arial"/>
          <w:szCs w:val="21"/>
        </w:rPr>
        <w:t>I</w:t>
      </w:r>
      <w:r w:rsidRPr="000121EC">
        <w:rPr>
          <w:rFonts w:cs="Arial"/>
          <w:szCs w:val="21"/>
        </w:rPr>
        <w:t>ncoming AI equity investment</w:t>
      </w:r>
      <w:r w:rsidR="00EA3370" w:rsidRPr="000121EC">
        <w:rPr>
          <w:rFonts w:cs="Arial"/>
          <w:szCs w:val="21"/>
        </w:rPr>
        <w:t xml:space="preserve">, measuring </w:t>
      </w:r>
      <w:r w:rsidRPr="000121EC">
        <w:rPr>
          <w:rFonts w:cs="Arial"/>
          <w:szCs w:val="21"/>
        </w:rPr>
        <w:t>financ</w:t>
      </w:r>
      <w:r w:rsidR="00EA3370" w:rsidRPr="000121EC">
        <w:rPr>
          <w:rFonts w:cs="Arial"/>
          <w:szCs w:val="21"/>
        </w:rPr>
        <w:t>ing of</w:t>
      </w:r>
      <w:r w:rsidR="00E32BEE" w:rsidRPr="000121EC">
        <w:rPr>
          <w:rFonts w:cs="Arial"/>
          <w:szCs w:val="21"/>
        </w:rPr>
        <w:t xml:space="preserve"> innova</w:t>
      </w:r>
      <w:r w:rsidR="004E3322" w:rsidRPr="000121EC">
        <w:rPr>
          <w:rFonts w:cs="Arial"/>
          <w:szCs w:val="21"/>
        </w:rPr>
        <w:t>tive applications</w:t>
      </w:r>
      <w:r w:rsidR="00EA3370" w:rsidRPr="000121EC">
        <w:rPr>
          <w:rFonts w:cs="Arial"/>
          <w:szCs w:val="21"/>
        </w:rPr>
        <w:t xml:space="preserve">. </w:t>
      </w:r>
      <w:r w:rsidR="00B52AEF" w:rsidRPr="000121EC">
        <w:rPr>
          <w:rFonts w:cs="Arial"/>
          <w:szCs w:val="21"/>
        </w:rPr>
        <w:t xml:space="preserve">The access to such finance </w:t>
      </w:r>
      <w:r w:rsidR="004E3322" w:rsidRPr="000121EC">
        <w:rPr>
          <w:rFonts w:cs="Arial"/>
          <w:szCs w:val="21"/>
        </w:rPr>
        <w:t xml:space="preserve">can </w:t>
      </w:r>
      <w:r w:rsidR="001C1977" w:rsidRPr="000121EC">
        <w:rPr>
          <w:rFonts w:cs="Arial"/>
          <w:szCs w:val="21"/>
        </w:rPr>
        <w:t>make economies more agile to a changing environment</w:t>
      </w:r>
      <w:r w:rsidR="000D7244" w:rsidRPr="000121EC">
        <w:rPr>
          <w:rFonts w:cs="Arial"/>
          <w:szCs w:val="21"/>
        </w:rPr>
        <w:t>;</w:t>
      </w:r>
      <w:r w:rsidR="001C1977" w:rsidRPr="000121EC">
        <w:rPr>
          <w:rFonts w:cs="Arial"/>
          <w:szCs w:val="21"/>
        </w:rPr>
        <w:t xml:space="preserve"> </w:t>
      </w:r>
      <w:r w:rsidR="00B52AEF" w:rsidRPr="000121EC">
        <w:rPr>
          <w:rFonts w:cs="Arial"/>
          <w:szCs w:val="21"/>
        </w:rPr>
        <w:t xml:space="preserve">3) </w:t>
      </w:r>
      <w:r w:rsidRPr="000121EC">
        <w:rPr>
          <w:rFonts w:cs="Arial"/>
          <w:szCs w:val="21"/>
        </w:rPr>
        <w:t>ICT/AI-related exports</w:t>
      </w:r>
      <w:r w:rsidR="00B52AEF" w:rsidRPr="000121EC">
        <w:rPr>
          <w:rFonts w:cs="Arial"/>
          <w:szCs w:val="21"/>
        </w:rPr>
        <w:t>,</w:t>
      </w:r>
      <w:r w:rsidRPr="000121EC">
        <w:rPr>
          <w:rFonts w:cs="Arial"/>
          <w:szCs w:val="21"/>
        </w:rPr>
        <w:t xml:space="preserve"> captur</w:t>
      </w:r>
      <w:r w:rsidR="00B316E4" w:rsidRPr="000121EC">
        <w:rPr>
          <w:rFonts w:cs="Arial"/>
          <w:szCs w:val="21"/>
        </w:rPr>
        <w:t>ing the</w:t>
      </w:r>
      <w:r w:rsidRPr="000121EC">
        <w:rPr>
          <w:rFonts w:cs="Arial"/>
          <w:szCs w:val="21"/>
        </w:rPr>
        <w:t xml:space="preserve"> exposure to global technology demand</w:t>
      </w:r>
      <w:r w:rsidR="000D7244" w:rsidRPr="000121EC">
        <w:rPr>
          <w:rFonts w:cs="Arial"/>
          <w:szCs w:val="21"/>
        </w:rPr>
        <w:t>;</w:t>
      </w:r>
      <w:r w:rsidR="00B316E4" w:rsidRPr="000121EC">
        <w:rPr>
          <w:rFonts w:cs="Arial"/>
          <w:szCs w:val="21"/>
        </w:rPr>
        <w:t xml:space="preserve"> 4)</w:t>
      </w:r>
      <w:r w:rsidRPr="000121EC">
        <w:rPr>
          <w:rFonts w:cs="Arial"/>
          <w:szCs w:val="21"/>
        </w:rPr>
        <w:t xml:space="preserve"> </w:t>
      </w:r>
      <w:r w:rsidR="00B316E4" w:rsidRPr="000121EC">
        <w:rPr>
          <w:rFonts w:cs="Arial"/>
          <w:szCs w:val="21"/>
        </w:rPr>
        <w:t>N</w:t>
      </w:r>
      <w:r w:rsidRPr="000121EC">
        <w:rPr>
          <w:rFonts w:cs="Arial"/>
          <w:szCs w:val="21"/>
        </w:rPr>
        <w:t>ational stock-market correlation with the semiconductor index</w:t>
      </w:r>
      <w:r w:rsidR="00B316E4" w:rsidRPr="000121EC">
        <w:rPr>
          <w:rFonts w:cs="Arial"/>
          <w:szCs w:val="21"/>
        </w:rPr>
        <w:t xml:space="preserve">. This </w:t>
      </w:r>
      <w:r w:rsidR="002B6E08" w:rsidRPr="000121EC">
        <w:rPr>
          <w:rFonts w:cs="Arial"/>
          <w:szCs w:val="21"/>
        </w:rPr>
        <w:t>indicates</w:t>
      </w:r>
      <w:r w:rsidRPr="000121EC">
        <w:rPr>
          <w:rFonts w:cs="Arial"/>
          <w:szCs w:val="21"/>
        </w:rPr>
        <w:t xml:space="preserve"> financial-market exposure to the </w:t>
      </w:r>
      <w:r w:rsidR="00D33A94" w:rsidRPr="000121EC">
        <w:rPr>
          <w:rFonts w:cs="Arial"/>
          <w:szCs w:val="21"/>
        </w:rPr>
        <w:t>global semiconductor</w:t>
      </w:r>
      <w:r w:rsidRPr="000121EC">
        <w:rPr>
          <w:rFonts w:cs="Arial"/>
          <w:szCs w:val="21"/>
        </w:rPr>
        <w:t xml:space="preserve"> cycle.</w:t>
      </w:r>
      <w:r w:rsidR="00F24B75" w:rsidRPr="000121EC">
        <w:rPr>
          <w:rFonts w:cs="Arial"/>
          <w:szCs w:val="21"/>
        </w:rPr>
        <w:t xml:space="preserve"> </w:t>
      </w:r>
      <w:r w:rsidR="002B6E08" w:rsidRPr="000121EC">
        <w:rPr>
          <w:rFonts w:cs="Arial"/>
          <w:szCs w:val="21"/>
        </w:rPr>
        <w:t>Both t</w:t>
      </w:r>
      <w:r w:rsidR="001E5043" w:rsidRPr="000121EC">
        <w:rPr>
          <w:rFonts w:cs="Arial"/>
          <w:szCs w:val="21"/>
        </w:rPr>
        <w:t>he trade and stock market channel</w:t>
      </w:r>
      <w:r w:rsidR="0008197D" w:rsidRPr="000121EC">
        <w:rPr>
          <w:rFonts w:cs="Arial"/>
          <w:szCs w:val="21"/>
        </w:rPr>
        <w:t>s</w:t>
      </w:r>
      <w:r w:rsidR="001E5043" w:rsidRPr="000121EC">
        <w:rPr>
          <w:rFonts w:cs="Arial"/>
          <w:szCs w:val="21"/>
        </w:rPr>
        <w:t xml:space="preserve"> reflect an economies’  exposure to a </w:t>
      </w:r>
      <w:r w:rsidR="00417333" w:rsidRPr="000121EC">
        <w:rPr>
          <w:rFonts w:cs="Arial"/>
          <w:szCs w:val="21"/>
        </w:rPr>
        <w:t>global (semiconductor) factor</w:t>
      </w:r>
      <w:r w:rsidR="002B6E08" w:rsidRPr="000121EC">
        <w:rPr>
          <w:rFonts w:cs="Arial"/>
          <w:szCs w:val="21"/>
        </w:rPr>
        <w:t>,</w:t>
      </w:r>
      <w:r w:rsidR="00417333" w:rsidRPr="000121EC">
        <w:rPr>
          <w:rFonts w:cs="Arial"/>
          <w:szCs w:val="21"/>
        </w:rPr>
        <w:t xml:space="preserve"> which may</w:t>
      </w:r>
      <w:r w:rsidR="00BC6BF4" w:rsidRPr="000121EC">
        <w:rPr>
          <w:rFonts w:cs="Arial"/>
          <w:szCs w:val="21"/>
        </w:rPr>
        <w:t xml:space="preserve"> influence a countries’ cyclical performance.</w:t>
      </w:r>
    </w:p>
    <w:p w14:paraId="0C430869" w14:textId="28A3FB4B" w:rsidR="006E0DCB" w:rsidRPr="000121EC" w:rsidRDefault="006E0DCB" w:rsidP="00F50C96">
      <w:pPr>
        <w:spacing w:after="0" w:line="360" w:lineRule="auto"/>
        <w:ind w:left="720"/>
        <w:jc w:val="both"/>
        <w:rPr>
          <w:rFonts w:cs="Arial"/>
          <w:szCs w:val="21"/>
        </w:rPr>
      </w:pPr>
    </w:p>
    <w:p w14:paraId="49ACC199" w14:textId="54344C00" w:rsidR="008942F8" w:rsidRPr="000121EC" w:rsidRDefault="00D50D5C" w:rsidP="00F50C96">
      <w:pPr>
        <w:spacing w:after="0" w:line="360" w:lineRule="auto"/>
        <w:ind w:left="720"/>
        <w:jc w:val="both"/>
        <w:rPr>
          <w:rFonts w:cs="Arial"/>
          <w:szCs w:val="21"/>
        </w:rPr>
      </w:pPr>
      <w:r w:rsidRPr="000121EC">
        <w:rPr>
          <w:rFonts w:cs="Arial"/>
          <w:szCs w:val="21"/>
        </w:rPr>
        <w:lastRenderedPageBreak/>
        <w:t>W</w:t>
      </w:r>
      <w:r w:rsidR="00EF614E" w:rsidRPr="000121EC">
        <w:rPr>
          <w:rFonts w:cs="Arial"/>
          <w:szCs w:val="21"/>
        </w:rPr>
        <w:t xml:space="preserve">e estimate the relationship </w:t>
      </w:r>
      <w:r w:rsidR="00E370D7" w:rsidRPr="000121EC">
        <w:rPr>
          <w:rFonts w:cs="Arial"/>
          <w:szCs w:val="21"/>
        </w:rPr>
        <w:t xml:space="preserve">between the four ICT/AI-related channels and </w:t>
      </w:r>
      <w:r w:rsidR="00751348" w:rsidRPr="000121EC">
        <w:rPr>
          <w:rFonts w:cs="Arial"/>
          <w:szCs w:val="21"/>
        </w:rPr>
        <w:t>positive</w:t>
      </w:r>
      <w:r w:rsidR="00EF614E" w:rsidRPr="000121EC">
        <w:rPr>
          <w:rFonts w:cs="Arial"/>
          <w:szCs w:val="21"/>
        </w:rPr>
        <w:t xml:space="preserve"> </w:t>
      </w:r>
      <w:r w:rsidR="00E370D7" w:rsidRPr="000121EC">
        <w:rPr>
          <w:rFonts w:cs="Arial"/>
          <w:szCs w:val="21"/>
        </w:rPr>
        <w:t xml:space="preserve">GDP </w:t>
      </w:r>
      <w:r w:rsidR="00EF614E" w:rsidRPr="000121EC">
        <w:rPr>
          <w:rFonts w:cs="Arial"/>
          <w:szCs w:val="21"/>
        </w:rPr>
        <w:t xml:space="preserve">growth </w:t>
      </w:r>
      <w:r w:rsidR="00751348" w:rsidRPr="000121EC">
        <w:rPr>
          <w:rFonts w:cs="Arial"/>
          <w:szCs w:val="21"/>
        </w:rPr>
        <w:t>surprise</w:t>
      </w:r>
      <w:r w:rsidR="00EF614E" w:rsidRPr="000121EC">
        <w:rPr>
          <w:rFonts w:cs="Arial"/>
          <w:szCs w:val="21"/>
        </w:rPr>
        <w:t>s</w:t>
      </w:r>
      <w:r w:rsidRPr="000121EC">
        <w:rPr>
          <w:rFonts w:cs="Arial"/>
          <w:szCs w:val="21"/>
        </w:rPr>
        <w:t xml:space="preserve"> f</w:t>
      </w:r>
      <w:r w:rsidRPr="000121EC">
        <w:rPr>
          <w:rFonts w:cs="Arial"/>
          <w:szCs w:val="21"/>
        </w:rPr>
        <w:t>or a panel of 10 euro area countries</w:t>
      </w:r>
      <w:r w:rsidR="00EF614E" w:rsidRPr="000121EC">
        <w:rPr>
          <w:rFonts w:cs="Arial"/>
          <w:szCs w:val="21"/>
        </w:rPr>
        <w:t xml:space="preserve">. </w:t>
      </w:r>
      <w:r w:rsidR="007B315D" w:rsidRPr="000121EC">
        <w:rPr>
          <w:rFonts w:cs="Arial"/>
          <w:szCs w:val="21"/>
        </w:rPr>
        <w:t xml:space="preserve">We apply </w:t>
      </w:r>
      <w:r w:rsidR="00751348" w:rsidRPr="000121EC">
        <w:rPr>
          <w:rFonts w:cs="Arial"/>
          <w:szCs w:val="21"/>
        </w:rPr>
        <w:t>country-clustered bivariate tests</w:t>
      </w:r>
      <w:r w:rsidR="007B315D" w:rsidRPr="000121EC">
        <w:rPr>
          <w:rFonts w:cs="Arial"/>
          <w:szCs w:val="21"/>
        </w:rPr>
        <w:t xml:space="preserve"> and </w:t>
      </w:r>
      <w:r w:rsidR="00751348" w:rsidRPr="000121EC">
        <w:rPr>
          <w:rFonts w:cs="Arial"/>
          <w:szCs w:val="21"/>
        </w:rPr>
        <w:t xml:space="preserve">linear </w:t>
      </w:r>
      <w:r w:rsidR="007B315D" w:rsidRPr="000121EC">
        <w:rPr>
          <w:rFonts w:cs="Arial"/>
          <w:szCs w:val="21"/>
        </w:rPr>
        <w:t xml:space="preserve">and non-linear </w:t>
      </w:r>
      <w:r w:rsidR="00E370D7" w:rsidRPr="000121EC">
        <w:rPr>
          <w:rFonts w:cs="Arial"/>
          <w:szCs w:val="21"/>
        </w:rPr>
        <w:t xml:space="preserve">panel regression models. </w:t>
      </w:r>
      <w:r w:rsidR="00D83337" w:rsidRPr="000121EC">
        <w:rPr>
          <w:rFonts w:cs="Arial"/>
          <w:szCs w:val="21"/>
        </w:rPr>
        <w:t xml:space="preserve">It appears that </w:t>
      </w:r>
      <w:r w:rsidR="0072313E" w:rsidRPr="000121EC">
        <w:rPr>
          <w:rFonts w:cs="Arial"/>
          <w:szCs w:val="21"/>
        </w:rPr>
        <w:t>p</w:t>
      </w:r>
      <w:r w:rsidR="002F7A2B" w:rsidRPr="000121EC">
        <w:rPr>
          <w:rFonts w:cs="Arial"/>
          <w:szCs w:val="21"/>
        </w:rPr>
        <w:t xml:space="preserve">ositive growth surprises </w:t>
      </w:r>
      <w:r w:rsidR="00E17812" w:rsidRPr="000121EC">
        <w:rPr>
          <w:rFonts w:cs="Arial"/>
          <w:szCs w:val="21"/>
        </w:rPr>
        <w:t xml:space="preserve">are more </w:t>
      </w:r>
      <w:r w:rsidR="002F7A2B" w:rsidRPr="000121EC">
        <w:rPr>
          <w:rFonts w:cs="Arial"/>
          <w:szCs w:val="21"/>
        </w:rPr>
        <w:t xml:space="preserve">common in shock years. ICT/AI corporate investment has a positive average association with the probability of a positive surprise. ICT/AI-related export exposure </w:t>
      </w:r>
      <w:r w:rsidR="0069786E" w:rsidRPr="000121EC">
        <w:rPr>
          <w:rFonts w:cs="Arial"/>
          <w:szCs w:val="21"/>
        </w:rPr>
        <w:t xml:space="preserve">has an </w:t>
      </w:r>
      <w:r w:rsidR="002F7A2B" w:rsidRPr="000121EC">
        <w:rPr>
          <w:rFonts w:cs="Arial"/>
          <w:szCs w:val="21"/>
        </w:rPr>
        <w:t xml:space="preserve">additional shock-year association </w:t>
      </w:r>
      <w:r w:rsidR="0069786E" w:rsidRPr="000121EC">
        <w:rPr>
          <w:rFonts w:cs="Arial"/>
          <w:szCs w:val="21"/>
        </w:rPr>
        <w:t xml:space="preserve">with </w:t>
      </w:r>
      <w:r w:rsidR="002F7A2B" w:rsidRPr="000121EC">
        <w:rPr>
          <w:rFonts w:cs="Arial"/>
          <w:szCs w:val="21"/>
        </w:rPr>
        <w:t xml:space="preserve">positive </w:t>
      </w:r>
      <w:r w:rsidR="0069786E" w:rsidRPr="000121EC">
        <w:rPr>
          <w:rFonts w:cs="Arial"/>
          <w:szCs w:val="21"/>
        </w:rPr>
        <w:t>growth surprises</w:t>
      </w:r>
      <w:r w:rsidR="002F7A2B" w:rsidRPr="000121EC">
        <w:rPr>
          <w:rFonts w:cs="Arial"/>
          <w:szCs w:val="21"/>
        </w:rPr>
        <w:t xml:space="preserve">. AI equity investment and semiconductor-market correlation do not yield </w:t>
      </w:r>
      <w:r w:rsidR="005E6C76" w:rsidRPr="000121EC">
        <w:rPr>
          <w:rFonts w:cs="Arial"/>
          <w:szCs w:val="21"/>
        </w:rPr>
        <w:t>significant</w:t>
      </w:r>
      <w:r w:rsidR="002F7A2B" w:rsidRPr="000121EC">
        <w:rPr>
          <w:rFonts w:cs="Arial"/>
          <w:szCs w:val="21"/>
        </w:rPr>
        <w:t xml:space="preserve"> relationships</w:t>
      </w:r>
      <w:r w:rsidR="00171216" w:rsidRPr="000121EC">
        <w:rPr>
          <w:rFonts w:cs="Arial"/>
          <w:szCs w:val="21"/>
        </w:rPr>
        <w:t xml:space="preserve"> with growth surprises</w:t>
      </w:r>
      <w:r w:rsidR="002F7A2B" w:rsidRPr="000121EC">
        <w:rPr>
          <w:rFonts w:cs="Arial"/>
          <w:szCs w:val="21"/>
        </w:rPr>
        <w:t xml:space="preserve">. </w:t>
      </w:r>
      <w:r w:rsidR="00D33A94" w:rsidRPr="000121EC">
        <w:rPr>
          <w:rFonts w:cs="Arial"/>
          <w:szCs w:val="21"/>
        </w:rPr>
        <w:t xml:space="preserve">Overall, we find that </w:t>
      </w:r>
      <w:r w:rsidR="002F7A2B" w:rsidRPr="000121EC">
        <w:rPr>
          <w:rFonts w:cs="Arial"/>
          <w:szCs w:val="21"/>
        </w:rPr>
        <w:t>the relationship depends on the channel, timing and nature of the shock.</w:t>
      </w:r>
    </w:p>
    <w:p w14:paraId="550E33DB" w14:textId="77777777" w:rsidR="006C400E" w:rsidRPr="000121EC" w:rsidRDefault="006C400E" w:rsidP="00F50C96">
      <w:pPr>
        <w:spacing w:after="0" w:line="360" w:lineRule="auto"/>
        <w:ind w:left="720"/>
        <w:jc w:val="both"/>
        <w:rPr>
          <w:rFonts w:cs="Arial"/>
          <w:szCs w:val="21"/>
        </w:rPr>
      </w:pPr>
    </w:p>
    <w:p w14:paraId="038BDC55" w14:textId="77777777" w:rsidR="008942F8" w:rsidRPr="000121EC" w:rsidRDefault="002F7A2B" w:rsidP="00F50C96">
      <w:pPr>
        <w:pStyle w:val="Heading1"/>
        <w:spacing w:before="0" w:after="0" w:line="360" w:lineRule="auto"/>
        <w:ind w:left="720"/>
        <w:jc w:val="both"/>
        <w:rPr>
          <w:rFonts w:ascii="Arial" w:hAnsi="Arial" w:cs="Arial"/>
          <w:color w:val="auto"/>
          <w:sz w:val="21"/>
          <w:szCs w:val="21"/>
        </w:rPr>
      </w:pPr>
      <w:r w:rsidRPr="000121EC">
        <w:rPr>
          <w:rFonts w:ascii="Arial" w:hAnsi="Arial" w:cs="Arial"/>
          <w:color w:val="auto"/>
          <w:sz w:val="21"/>
          <w:szCs w:val="21"/>
        </w:rPr>
        <w:t>2. Related literature and channels</w:t>
      </w:r>
    </w:p>
    <w:p w14:paraId="279062E0" w14:textId="77777777" w:rsidR="008942F8" w:rsidRPr="000121EC" w:rsidRDefault="002F7A2B" w:rsidP="00F50C96">
      <w:pPr>
        <w:pStyle w:val="Heading2"/>
        <w:spacing w:before="0" w:after="0" w:line="360" w:lineRule="auto"/>
        <w:ind w:left="720"/>
        <w:jc w:val="both"/>
        <w:rPr>
          <w:rFonts w:ascii="Arial" w:hAnsi="Arial" w:cs="Arial"/>
          <w:color w:val="auto"/>
          <w:sz w:val="21"/>
          <w:szCs w:val="21"/>
        </w:rPr>
      </w:pPr>
      <w:r w:rsidRPr="000121EC">
        <w:rPr>
          <w:rFonts w:ascii="Arial" w:hAnsi="Arial" w:cs="Arial"/>
          <w:color w:val="auto"/>
          <w:sz w:val="21"/>
          <w:szCs w:val="21"/>
        </w:rPr>
        <w:t>2.1 Economic resilience and growth surprises</w:t>
      </w:r>
    </w:p>
    <w:p w14:paraId="463E091E" w14:textId="008DBA63" w:rsidR="003D0722" w:rsidRPr="000121EC" w:rsidRDefault="002F7A2B" w:rsidP="00F50C96">
      <w:pPr>
        <w:spacing w:after="0" w:line="360" w:lineRule="auto"/>
        <w:ind w:left="720"/>
        <w:jc w:val="both"/>
        <w:rPr>
          <w:rFonts w:cs="Arial"/>
          <w:szCs w:val="21"/>
        </w:rPr>
      </w:pPr>
      <w:r w:rsidRPr="000121EC">
        <w:rPr>
          <w:rFonts w:cs="Arial"/>
          <w:szCs w:val="21"/>
        </w:rPr>
        <w:t xml:space="preserve">Economic resilience is commonly understood as an economy’s capacity to </w:t>
      </w:r>
      <w:r w:rsidR="00E50DB5" w:rsidRPr="000121EC">
        <w:rPr>
          <w:rFonts w:cs="Arial"/>
          <w:szCs w:val="21"/>
        </w:rPr>
        <w:t>cope with shock</w:t>
      </w:r>
      <w:r w:rsidR="000A343E" w:rsidRPr="000121EC">
        <w:rPr>
          <w:rFonts w:cs="Arial"/>
          <w:szCs w:val="21"/>
        </w:rPr>
        <w:t>s</w:t>
      </w:r>
      <w:r w:rsidRPr="000121EC">
        <w:rPr>
          <w:rFonts w:cs="Arial"/>
          <w:szCs w:val="21"/>
        </w:rPr>
        <w:t xml:space="preserve">, limit </w:t>
      </w:r>
      <w:r w:rsidR="00B02671" w:rsidRPr="000121EC">
        <w:rPr>
          <w:rFonts w:cs="Arial"/>
          <w:szCs w:val="21"/>
        </w:rPr>
        <w:t>economic</w:t>
      </w:r>
      <w:r w:rsidRPr="000121EC">
        <w:rPr>
          <w:rFonts w:cs="Arial"/>
          <w:szCs w:val="21"/>
        </w:rPr>
        <w:t xml:space="preserve"> damage and recover </w:t>
      </w:r>
      <w:r w:rsidR="00B02671" w:rsidRPr="000121EC">
        <w:rPr>
          <w:rFonts w:cs="Arial"/>
          <w:szCs w:val="21"/>
        </w:rPr>
        <w:t>quickly</w:t>
      </w:r>
      <w:r w:rsidRPr="000121EC">
        <w:rPr>
          <w:rFonts w:cs="Arial"/>
          <w:szCs w:val="21"/>
        </w:rPr>
        <w:t>. Hill</w:t>
      </w:r>
      <w:r w:rsidR="00E72C22" w:rsidRPr="000121EC">
        <w:rPr>
          <w:rFonts w:cs="Arial"/>
          <w:szCs w:val="21"/>
        </w:rPr>
        <w:t xml:space="preserve"> et al. </w:t>
      </w:r>
      <w:r w:rsidRPr="000121EC">
        <w:rPr>
          <w:rFonts w:cs="Arial"/>
          <w:szCs w:val="21"/>
        </w:rPr>
        <w:t xml:space="preserve">(2008) </w:t>
      </w:r>
      <w:r w:rsidR="009949CF" w:rsidRPr="000121EC">
        <w:rPr>
          <w:rFonts w:cs="Arial"/>
          <w:szCs w:val="21"/>
        </w:rPr>
        <w:t xml:space="preserve">associates resilience to several related </w:t>
      </w:r>
      <w:r w:rsidRPr="000121EC">
        <w:rPr>
          <w:rFonts w:cs="Arial"/>
          <w:szCs w:val="21"/>
        </w:rPr>
        <w:t>outcomes</w:t>
      </w:r>
      <w:r w:rsidR="009949CF" w:rsidRPr="000121EC">
        <w:rPr>
          <w:rFonts w:cs="Arial"/>
          <w:szCs w:val="21"/>
        </w:rPr>
        <w:t>:</w:t>
      </w:r>
      <w:r w:rsidR="005D2FB7" w:rsidRPr="000121EC">
        <w:rPr>
          <w:rFonts w:cs="Arial"/>
          <w:szCs w:val="21"/>
        </w:rPr>
        <w:t xml:space="preserve"> </w:t>
      </w:r>
      <w:r w:rsidRPr="000121EC">
        <w:rPr>
          <w:rFonts w:cs="Arial"/>
          <w:szCs w:val="21"/>
        </w:rPr>
        <w:t>resistance, recovery, reorientation and renewal. Eichengreen</w:t>
      </w:r>
      <w:r w:rsidR="009949CF" w:rsidRPr="000121EC">
        <w:rPr>
          <w:rFonts w:cs="Arial"/>
          <w:szCs w:val="21"/>
        </w:rPr>
        <w:t xml:space="preserve"> et al. </w:t>
      </w:r>
      <w:r w:rsidRPr="000121EC">
        <w:rPr>
          <w:rFonts w:cs="Arial"/>
          <w:szCs w:val="21"/>
        </w:rPr>
        <w:t xml:space="preserve">(2024) operationalise resilience as the strength of </w:t>
      </w:r>
      <w:r w:rsidR="006E2374" w:rsidRPr="000121EC">
        <w:rPr>
          <w:rFonts w:cs="Arial"/>
          <w:szCs w:val="21"/>
        </w:rPr>
        <w:t xml:space="preserve">the economic </w:t>
      </w:r>
      <w:r w:rsidRPr="000121EC">
        <w:rPr>
          <w:rFonts w:cs="Arial"/>
          <w:szCs w:val="21"/>
        </w:rPr>
        <w:t>recovery after negative shocks</w:t>
      </w:r>
      <w:r w:rsidR="001E118A" w:rsidRPr="000121EC">
        <w:rPr>
          <w:rFonts w:cs="Arial"/>
          <w:szCs w:val="21"/>
        </w:rPr>
        <w:t xml:space="preserve">. They </w:t>
      </w:r>
      <w:r w:rsidRPr="000121EC">
        <w:rPr>
          <w:rFonts w:cs="Arial"/>
          <w:szCs w:val="21"/>
        </w:rPr>
        <w:t>show that trade openness and exchange-rate flexibility are associated with stronger recovery, while rapid pre-crisis credit growth and financial openness can weaken it. Th</w:t>
      </w:r>
      <w:r w:rsidR="000873E0" w:rsidRPr="000121EC">
        <w:rPr>
          <w:rFonts w:cs="Arial"/>
          <w:szCs w:val="21"/>
        </w:rPr>
        <w:t>e</w:t>
      </w:r>
      <w:r w:rsidRPr="000121EC">
        <w:rPr>
          <w:rFonts w:cs="Arial"/>
          <w:szCs w:val="21"/>
        </w:rPr>
        <w:t xml:space="preserve"> literature </w:t>
      </w:r>
      <w:r w:rsidR="000873E0" w:rsidRPr="000121EC">
        <w:rPr>
          <w:rFonts w:cs="Arial"/>
          <w:szCs w:val="21"/>
        </w:rPr>
        <w:t xml:space="preserve">thus </w:t>
      </w:r>
      <w:r w:rsidRPr="000121EC">
        <w:rPr>
          <w:rFonts w:cs="Arial"/>
          <w:szCs w:val="21"/>
        </w:rPr>
        <w:t>motivates an expectation-adjusted outcome</w:t>
      </w:r>
      <w:r w:rsidR="00ED2634" w:rsidRPr="000121EC">
        <w:rPr>
          <w:rFonts w:cs="Arial"/>
          <w:szCs w:val="21"/>
        </w:rPr>
        <w:t xml:space="preserve"> to measure resilience</w:t>
      </w:r>
      <w:r w:rsidRPr="000121EC">
        <w:rPr>
          <w:rFonts w:cs="Arial"/>
          <w:szCs w:val="21"/>
        </w:rPr>
        <w:t xml:space="preserve">: if realised growth exceeds a forecast </w:t>
      </w:r>
      <w:r w:rsidR="00AE5294" w:rsidRPr="000121EC">
        <w:rPr>
          <w:rFonts w:cs="Arial"/>
          <w:szCs w:val="21"/>
        </w:rPr>
        <w:t xml:space="preserve">made </w:t>
      </w:r>
      <w:r w:rsidR="005C5A1C" w:rsidRPr="000121EC">
        <w:rPr>
          <w:rFonts w:cs="Arial"/>
          <w:szCs w:val="21"/>
        </w:rPr>
        <w:t>shortly</w:t>
      </w:r>
      <w:r w:rsidR="00EC705B" w:rsidRPr="000121EC">
        <w:rPr>
          <w:rFonts w:cs="Arial"/>
          <w:szCs w:val="21"/>
        </w:rPr>
        <w:t xml:space="preserve"> after </w:t>
      </w:r>
      <w:r w:rsidRPr="000121EC">
        <w:rPr>
          <w:rFonts w:cs="Arial"/>
          <w:szCs w:val="21"/>
        </w:rPr>
        <w:t>the shock, the economy has absorbed or recovered from the disturbance</w:t>
      </w:r>
      <w:r w:rsidR="00CE6AD9" w:rsidRPr="000121EC">
        <w:rPr>
          <w:rFonts w:cs="Arial"/>
          <w:szCs w:val="21"/>
        </w:rPr>
        <w:t xml:space="preserve"> stronger and quicker </w:t>
      </w:r>
      <w:r w:rsidRPr="000121EC">
        <w:rPr>
          <w:rFonts w:cs="Arial"/>
          <w:szCs w:val="21"/>
        </w:rPr>
        <w:t>than anticipated.</w:t>
      </w:r>
    </w:p>
    <w:p w14:paraId="5BC553AC" w14:textId="47B001B3" w:rsidR="006263FB" w:rsidRPr="000121EC" w:rsidRDefault="006263FB" w:rsidP="00F50C96">
      <w:pPr>
        <w:spacing w:after="0" w:line="360" w:lineRule="auto"/>
        <w:ind w:left="720"/>
        <w:jc w:val="both"/>
        <w:rPr>
          <w:rFonts w:cs="Arial"/>
          <w:szCs w:val="21"/>
        </w:rPr>
      </w:pPr>
      <w:r w:rsidRPr="000121EC">
        <w:rPr>
          <w:rFonts w:cs="Arial"/>
          <w:szCs w:val="21"/>
        </w:rPr>
        <w:t xml:space="preserve"> </w:t>
      </w:r>
    </w:p>
    <w:p w14:paraId="66166304" w14:textId="2A88CAD7" w:rsidR="008942F8" w:rsidRPr="000121EC" w:rsidRDefault="002F7A2B" w:rsidP="00F50C96">
      <w:pPr>
        <w:pStyle w:val="Heading2"/>
        <w:spacing w:before="0" w:after="0" w:line="360" w:lineRule="auto"/>
        <w:ind w:left="720"/>
        <w:jc w:val="both"/>
        <w:rPr>
          <w:rFonts w:ascii="Arial" w:hAnsi="Arial" w:cs="Arial"/>
          <w:color w:val="auto"/>
          <w:sz w:val="21"/>
          <w:szCs w:val="21"/>
        </w:rPr>
      </w:pPr>
      <w:r w:rsidRPr="000121EC">
        <w:rPr>
          <w:rFonts w:ascii="Arial" w:hAnsi="Arial" w:cs="Arial"/>
          <w:color w:val="auto"/>
          <w:sz w:val="21"/>
          <w:szCs w:val="21"/>
        </w:rPr>
        <w:t xml:space="preserve">2.2 </w:t>
      </w:r>
      <w:r w:rsidR="00C56A6D" w:rsidRPr="000121EC">
        <w:rPr>
          <w:rFonts w:ascii="Arial" w:hAnsi="Arial" w:cs="Arial"/>
          <w:color w:val="auto"/>
          <w:sz w:val="21"/>
          <w:szCs w:val="21"/>
        </w:rPr>
        <w:t>I</w:t>
      </w:r>
      <w:r w:rsidRPr="000121EC">
        <w:rPr>
          <w:rFonts w:ascii="Arial" w:hAnsi="Arial" w:cs="Arial"/>
          <w:color w:val="auto"/>
          <w:sz w:val="21"/>
          <w:szCs w:val="21"/>
        </w:rPr>
        <w:t>nvestment channel</w:t>
      </w:r>
    </w:p>
    <w:p w14:paraId="7D6F061C" w14:textId="1D11B5F8" w:rsidR="008942F8" w:rsidRPr="000121EC" w:rsidRDefault="002F7A2B" w:rsidP="00F50C96">
      <w:pPr>
        <w:spacing w:after="0" w:line="360" w:lineRule="auto"/>
        <w:ind w:left="720"/>
        <w:jc w:val="both"/>
        <w:rPr>
          <w:rFonts w:cs="Arial"/>
          <w:szCs w:val="21"/>
        </w:rPr>
      </w:pPr>
      <w:r w:rsidRPr="000121EC">
        <w:rPr>
          <w:rFonts w:cs="Arial"/>
          <w:szCs w:val="21"/>
        </w:rPr>
        <w:t xml:space="preserve">Digital </w:t>
      </w:r>
      <w:r w:rsidR="00FC6347" w:rsidRPr="000121EC">
        <w:rPr>
          <w:rFonts w:cs="Arial"/>
          <w:szCs w:val="21"/>
        </w:rPr>
        <w:t>investment</w:t>
      </w:r>
      <w:r w:rsidRPr="000121EC">
        <w:rPr>
          <w:rFonts w:cs="Arial"/>
          <w:szCs w:val="21"/>
        </w:rPr>
        <w:t xml:space="preserve"> can strengthen resilience by </w:t>
      </w:r>
      <w:r w:rsidR="00246774">
        <w:rPr>
          <w:rFonts w:cs="Arial"/>
          <w:szCs w:val="21"/>
        </w:rPr>
        <w:t>enabling</w:t>
      </w:r>
      <w:r w:rsidRPr="000121EC">
        <w:rPr>
          <w:rFonts w:cs="Arial"/>
          <w:szCs w:val="21"/>
        </w:rPr>
        <w:t xml:space="preserve"> </w:t>
      </w:r>
      <w:r w:rsidR="00576749" w:rsidRPr="000121EC">
        <w:rPr>
          <w:rFonts w:cs="Arial"/>
          <w:szCs w:val="21"/>
        </w:rPr>
        <w:t xml:space="preserve">firms’ </w:t>
      </w:r>
      <w:r w:rsidRPr="000121EC">
        <w:rPr>
          <w:rFonts w:cs="Arial"/>
          <w:szCs w:val="21"/>
        </w:rPr>
        <w:t xml:space="preserve">production and </w:t>
      </w:r>
      <w:r w:rsidR="00576749" w:rsidRPr="000121EC">
        <w:rPr>
          <w:rFonts w:cs="Arial"/>
          <w:szCs w:val="21"/>
        </w:rPr>
        <w:t xml:space="preserve">strategies to </w:t>
      </w:r>
      <w:r w:rsidR="00246774">
        <w:rPr>
          <w:rFonts w:cs="Arial"/>
          <w:szCs w:val="21"/>
        </w:rPr>
        <w:t>quickly</w:t>
      </w:r>
      <w:r w:rsidR="007256EA">
        <w:rPr>
          <w:rFonts w:cs="Arial"/>
          <w:szCs w:val="21"/>
        </w:rPr>
        <w:t xml:space="preserve"> </w:t>
      </w:r>
      <w:r w:rsidR="00576749" w:rsidRPr="000121EC">
        <w:rPr>
          <w:rFonts w:cs="Arial"/>
          <w:szCs w:val="21"/>
        </w:rPr>
        <w:t xml:space="preserve">adapt </w:t>
      </w:r>
      <w:r w:rsidR="00C10262" w:rsidRPr="000121EC">
        <w:rPr>
          <w:rFonts w:cs="Arial"/>
          <w:szCs w:val="21"/>
        </w:rPr>
        <w:t>to uncertainty in the external environment</w:t>
      </w:r>
      <w:r w:rsidR="00F17E06" w:rsidRPr="000121EC">
        <w:rPr>
          <w:rFonts w:cs="Arial"/>
          <w:szCs w:val="21"/>
        </w:rPr>
        <w:t>.</w:t>
      </w:r>
      <w:r w:rsidRPr="000121EC">
        <w:rPr>
          <w:rFonts w:cs="Arial"/>
          <w:szCs w:val="21"/>
        </w:rPr>
        <w:t xml:space="preserve"> Papaioannou (2023) finds that European economies with higher ICT intensity suffered smaller </w:t>
      </w:r>
      <w:r w:rsidR="003171A6" w:rsidRPr="000121EC">
        <w:rPr>
          <w:rFonts w:cs="Arial"/>
          <w:szCs w:val="21"/>
        </w:rPr>
        <w:t xml:space="preserve">output </w:t>
      </w:r>
      <w:r w:rsidRPr="000121EC">
        <w:rPr>
          <w:rFonts w:cs="Arial"/>
          <w:szCs w:val="21"/>
        </w:rPr>
        <w:t>losses during the COVID-19 shock. Abidi</w:t>
      </w:r>
      <w:r w:rsidR="0000380C" w:rsidRPr="000121EC">
        <w:rPr>
          <w:rFonts w:cs="Arial"/>
          <w:szCs w:val="21"/>
        </w:rPr>
        <w:t xml:space="preserve"> et al. </w:t>
      </w:r>
      <w:r w:rsidRPr="000121EC">
        <w:rPr>
          <w:rFonts w:cs="Arial"/>
          <w:szCs w:val="21"/>
        </w:rPr>
        <w:t xml:space="preserve">(2022) similarly report that digitally enabled firms experienced </w:t>
      </w:r>
      <w:r w:rsidR="001B12FE" w:rsidRPr="000121EC">
        <w:rPr>
          <w:rFonts w:cs="Arial"/>
          <w:szCs w:val="21"/>
        </w:rPr>
        <w:t xml:space="preserve">smaller </w:t>
      </w:r>
      <w:r w:rsidRPr="000121EC">
        <w:rPr>
          <w:rFonts w:cs="Arial"/>
          <w:szCs w:val="21"/>
        </w:rPr>
        <w:t xml:space="preserve">sales declines than digitally constrained firms  </w:t>
      </w:r>
      <w:r w:rsidR="00B70596" w:rsidRPr="000121EC">
        <w:rPr>
          <w:rFonts w:cs="Arial"/>
          <w:szCs w:val="21"/>
        </w:rPr>
        <w:t>Bilal</w:t>
      </w:r>
      <w:r w:rsidR="0000380C" w:rsidRPr="000121EC">
        <w:rPr>
          <w:rFonts w:cs="Arial"/>
          <w:szCs w:val="21"/>
        </w:rPr>
        <w:t xml:space="preserve"> et al. </w:t>
      </w:r>
      <w:r w:rsidRPr="000121EC">
        <w:rPr>
          <w:rFonts w:cs="Arial"/>
          <w:szCs w:val="21"/>
        </w:rPr>
        <w:t>(2024), using data for 100 countries, find that ICT mitigated the growth consequences of COVID-19.</w:t>
      </w:r>
      <w:r w:rsidR="00B70596" w:rsidRPr="000121EC">
        <w:rPr>
          <w:rFonts w:cs="Arial"/>
          <w:szCs w:val="21"/>
        </w:rPr>
        <w:t xml:space="preserve"> </w:t>
      </w:r>
      <w:r w:rsidRPr="000121EC">
        <w:rPr>
          <w:rFonts w:cs="Arial"/>
          <w:szCs w:val="21"/>
        </w:rPr>
        <w:t xml:space="preserve">The effect need not be immediate or linear. Yan et al. (2024) report an inverted-U relationship between digital transformation and corporate resilience. </w:t>
      </w:r>
      <w:r w:rsidR="00194F66" w:rsidRPr="000121EC">
        <w:rPr>
          <w:rFonts w:cs="Arial"/>
          <w:szCs w:val="21"/>
        </w:rPr>
        <w:t xml:space="preserve">We </w:t>
      </w:r>
      <w:r w:rsidRPr="000121EC">
        <w:rPr>
          <w:rFonts w:cs="Arial"/>
          <w:szCs w:val="21"/>
        </w:rPr>
        <w:t>distin</w:t>
      </w:r>
      <w:r w:rsidR="00194F66" w:rsidRPr="000121EC">
        <w:rPr>
          <w:rFonts w:cs="Arial"/>
          <w:szCs w:val="21"/>
        </w:rPr>
        <w:t>guish</w:t>
      </w:r>
      <w:r w:rsidRPr="000121EC">
        <w:rPr>
          <w:rFonts w:cs="Arial"/>
          <w:szCs w:val="21"/>
        </w:rPr>
        <w:t xml:space="preserve"> </w:t>
      </w:r>
      <w:r w:rsidR="00194F66" w:rsidRPr="000121EC">
        <w:rPr>
          <w:rFonts w:cs="Arial"/>
          <w:szCs w:val="21"/>
        </w:rPr>
        <w:t xml:space="preserve">corporate </w:t>
      </w:r>
      <w:r w:rsidRPr="000121EC">
        <w:rPr>
          <w:rFonts w:cs="Arial"/>
          <w:szCs w:val="21"/>
        </w:rPr>
        <w:t xml:space="preserve">ICT/AI fixed investment </w:t>
      </w:r>
      <w:r w:rsidR="00194F66" w:rsidRPr="000121EC">
        <w:rPr>
          <w:rFonts w:cs="Arial"/>
          <w:szCs w:val="21"/>
        </w:rPr>
        <w:t xml:space="preserve">from </w:t>
      </w:r>
      <w:r w:rsidRPr="000121EC">
        <w:rPr>
          <w:rFonts w:cs="Arial"/>
          <w:szCs w:val="21"/>
        </w:rPr>
        <w:t xml:space="preserve">incoming AI equity deals as separate channels. The former is closer to </w:t>
      </w:r>
      <w:r w:rsidR="00BF1694" w:rsidRPr="000121EC">
        <w:rPr>
          <w:rFonts w:cs="Arial"/>
          <w:szCs w:val="21"/>
        </w:rPr>
        <w:t xml:space="preserve">firm’ </w:t>
      </w:r>
      <w:r w:rsidRPr="000121EC">
        <w:rPr>
          <w:rFonts w:cs="Arial"/>
          <w:szCs w:val="21"/>
        </w:rPr>
        <w:t>productive capital; the latter capture</w:t>
      </w:r>
      <w:r w:rsidR="00697C1E" w:rsidRPr="000121EC">
        <w:rPr>
          <w:rFonts w:cs="Arial"/>
          <w:szCs w:val="21"/>
        </w:rPr>
        <w:t>s</w:t>
      </w:r>
      <w:r w:rsidRPr="000121EC">
        <w:rPr>
          <w:rFonts w:cs="Arial"/>
          <w:szCs w:val="21"/>
        </w:rPr>
        <w:t xml:space="preserve"> </w:t>
      </w:r>
      <w:r w:rsidR="00466D4D" w:rsidRPr="000121EC">
        <w:rPr>
          <w:rFonts w:cs="Arial"/>
          <w:szCs w:val="21"/>
        </w:rPr>
        <w:t xml:space="preserve">the access to finance for innovative enterprises </w:t>
      </w:r>
      <w:r w:rsidR="00697C1E" w:rsidRPr="000121EC">
        <w:rPr>
          <w:rFonts w:cs="Arial"/>
          <w:szCs w:val="21"/>
        </w:rPr>
        <w:t>in the AI field.</w:t>
      </w:r>
      <w:r w:rsidR="001A0D24" w:rsidRPr="000121EC">
        <w:rPr>
          <w:rFonts w:cs="Arial"/>
          <w:szCs w:val="21"/>
        </w:rPr>
        <w:t xml:space="preserve"> As such</w:t>
      </w:r>
      <w:r w:rsidR="00457986" w:rsidRPr="000121EC">
        <w:rPr>
          <w:rFonts w:cs="Arial"/>
          <w:szCs w:val="21"/>
        </w:rPr>
        <w:t>,</w:t>
      </w:r>
      <w:r w:rsidR="001A0D24" w:rsidRPr="000121EC">
        <w:rPr>
          <w:rFonts w:cs="Arial"/>
          <w:szCs w:val="21"/>
        </w:rPr>
        <w:t xml:space="preserve"> </w:t>
      </w:r>
      <w:r w:rsidR="001932E6" w:rsidRPr="000121EC">
        <w:rPr>
          <w:rFonts w:cs="Arial"/>
          <w:szCs w:val="21"/>
        </w:rPr>
        <w:t xml:space="preserve">AI equity investment reflect </w:t>
      </w:r>
      <w:r w:rsidR="00EC326E" w:rsidRPr="000121EC">
        <w:rPr>
          <w:rFonts w:cs="Arial"/>
          <w:szCs w:val="21"/>
        </w:rPr>
        <w:t xml:space="preserve">the ease of </w:t>
      </w:r>
      <w:r w:rsidR="0001213B" w:rsidRPr="000121EC">
        <w:rPr>
          <w:rFonts w:cs="Arial"/>
          <w:szCs w:val="21"/>
        </w:rPr>
        <w:t>adopt</w:t>
      </w:r>
      <w:r w:rsidR="004F12D4" w:rsidRPr="000121EC">
        <w:rPr>
          <w:rFonts w:cs="Arial"/>
          <w:szCs w:val="21"/>
        </w:rPr>
        <w:t>ing</w:t>
      </w:r>
      <w:r w:rsidR="0001213B" w:rsidRPr="000121EC">
        <w:rPr>
          <w:rFonts w:cs="Arial"/>
          <w:szCs w:val="21"/>
        </w:rPr>
        <w:t xml:space="preserve"> ICT/AI-related technologies</w:t>
      </w:r>
      <w:r w:rsidR="004F12D4" w:rsidRPr="000121EC">
        <w:rPr>
          <w:rFonts w:cs="Arial"/>
          <w:szCs w:val="21"/>
        </w:rPr>
        <w:t xml:space="preserve"> by firms</w:t>
      </w:r>
      <w:r w:rsidR="0001213B" w:rsidRPr="000121EC">
        <w:rPr>
          <w:rFonts w:cs="Arial"/>
          <w:szCs w:val="21"/>
        </w:rPr>
        <w:t>.</w:t>
      </w:r>
    </w:p>
    <w:p w14:paraId="2E903CC5" w14:textId="77777777" w:rsidR="00194F66" w:rsidRDefault="00194F66" w:rsidP="00F50C96">
      <w:pPr>
        <w:spacing w:after="0" w:line="360" w:lineRule="auto"/>
        <w:ind w:left="720"/>
        <w:jc w:val="both"/>
        <w:rPr>
          <w:rFonts w:cs="Arial"/>
          <w:szCs w:val="21"/>
        </w:rPr>
      </w:pPr>
    </w:p>
    <w:p w14:paraId="274A4A92" w14:textId="1CE84B47" w:rsidR="008942F8" w:rsidRPr="000121EC" w:rsidRDefault="002F7A2B" w:rsidP="00F50C96">
      <w:pPr>
        <w:pStyle w:val="Heading2"/>
        <w:spacing w:before="0" w:after="0" w:line="360" w:lineRule="auto"/>
        <w:ind w:left="720"/>
        <w:jc w:val="both"/>
        <w:rPr>
          <w:rFonts w:ascii="Arial" w:hAnsi="Arial" w:cs="Arial"/>
          <w:color w:val="auto"/>
          <w:sz w:val="21"/>
          <w:szCs w:val="21"/>
        </w:rPr>
      </w:pPr>
      <w:r w:rsidRPr="000121EC">
        <w:rPr>
          <w:rFonts w:ascii="Arial" w:hAnsi="Arial" w:cs="Arial"/>
          <w:color w:val="auto"/>
          <w:sz w:val="21"/>
          <w:szCs w:val="21"/>
        </w:rPr>
        <w:lastRenderedPageBreak/>
        <w:t>2.3 Trade and financial-market channels</w:t>
      </w:r>
    </w:p>
    <w:p w14:paraId="681B9A2E" w14:textId="012885A0" w:rsidR="008942F8" w:rsidRPr="000121EC" w:rsidRDefault="002F7A2B" w:rsidP="00F50C96">
      <w:pPr>
        <w:spacing w:after="0" w:line="360" w:lineRule="auto"/>
        <w:ind w:left="720"/>
        <w:jc w:val="both"/>
        <w:rPr>
          <w:rFonts w:cs="Arial"/>
          <w:szCs w:val="21"/>
        </w:rPr>
      </w:pPr>
      <w:r w:rsidRPr="000121EC">
        <w:rPr>
          <w:rFonts w:cs="Arial"/>
          <w:szCs w:val="21"/>
        </w:rPr>
        <w:t xml:space="preserve">International trade offers a </w:t>
      </w:r>
      <w:r w:rsidR="00D22647" w:rsidRPr="000121EC">
        <w:rPr>
          <w:rFonts w:cs="Arial"/>
          <w:szCs w:val="21"/>
        </w:rPr>
        <w:t>another</w:t>
      </w:r>
      <w:r w:rsidRPr="000121EC">
        <w:rPr>
          <w:rFonts w:cs="Arial"/>
          <w:szCs w:val="21"/>
        </w:rPr>
        <w:t xml:space="preserve"> </w:t>
      </w:r>
      <w:r w:rsidR="00072F08" w:rsidRPr="000121EC">
        <w:rPr>
          <w:rFonts w:cs="Arial"/>
          <w:szCs w:val="21"/>
        </w:rPr>
        <w:t>channel</w:t>
      </w:r>
      <w:r w:rsidRPr="000121EC">
        <w:rPr>
          <w:rFonts w:cs="Arial"/>
          <w:szCs w:val="21"/>
        </w:rPr>
        <w:t>. ICT and semiconductor goods are deeply embedded in global investment and supply chains. During the pandemic, demand for</w:t>
      </w:r>
      <w:r w:rsidR="00BB1183" w:rsidRPr="000121EC">
        <w:rPr>
          <w:rFonts w:cs="Arial"/>
          <w:szCs w:val="21"/>
        </w:rPr>
        <w:t xml:space="preserve"> such goods </w:t>
      </w:r>
      <w:r w:rsidRPr="000121EC">
        <w:rPr>
          <w:rFonts w:cs="Arial"/>
          <w:szCs w:val="21"/>
        </w:rPr>
        <w:t xml:space="preserve">accelerated even while other sectors contracted. Countries with a larger export base in ICT/AI-related products may therefore receive an </w:t>
      </w:r>
      <w:r w:rsidR="007C547F" w:rsidRPr="000121EC">
        <w:rPr>
          <w:rFonts w:cs="Arial"/>
          <w:szCs w:val="21"/>
        </w:rPr>
        <w:t xml:space="preserve">countercyclical </w:t>
      </w:r>
      <w:r w:rsidRPr="000121EC">
        <w:rPr>
          <w:rFonts w:cs="Arial"/>
          <w:szCs w:val="21"/>
        </w:rPr>
        <w:t>external-demand impulse during</w:t>
      </w:r>
      <w:r w:rsidR="00871864" w:rsidRPr="000121EC">
        <w:rPr>
          <w:rFonts w:cs="Arial"/>
          <w:szCs w:val="21"/>
        </w:rPr>
        <w:t xml:space="preserve"> periods of</w:t>
      </w:r>
      <w:r w:rsidRPr="000121EC">
        <w:rPr>
          <w:rFonts w:cs="Arial"/>
          <w:szCs w:val="21"/>
        </w:rPr>
        <w:t xml:space="preserve"> shocks. This mechanism is consistent with the broader finding of Eichengreen</w:t>
      </w:r>
      <w:r w:rsidR="006C28E9" w:rsidRPr="000121EC">
        <w:rPr>
          <w:rFonts w:cs="Arial"/>
          <w:szCs w:val="21"/>
        </w:rPr>
        <w:t xml:space="preserve"> et al. </w:t>
      </w:r>
      <w:r w:rsidRPr="000121EC">
        <w:rPr>
          <w:rFonts w:cs="Arial"/>
          <w:szCs w:val="21"/>
        </w:rPr>
        <w:t xml:space="preserve">(2024) that trade openness can support recovery by allowing external demand to substitute for weak domestic demand. It also implies state dependence: export exposure can be beneficial when a shock raises digital demand, but harmful when the disturbance originates in </w:t>
      </w:r>
      <w:r w:rsidR="00A67BAC" w:rsidRPr="000121EC">
        <w:rPr>
          <w:rFonts w:cs="Arial"/>
          <w:szCs w:val="21"/>
        </w:rPr>
        <w:t>the ICT</w:t>
      </w:r>
      <w:r w:rsidR="00D22647" w:rsidRPr="000121EC">
        <w:rPr>
          <w:rFonts w:cs="Arial"/>
          <w:szCs w:val="21"/>
        </w:rPr>
        <w:t>/</w:t>
      </w:r>
      <w:r w:rsidR="00A67BAC" w:rsidRPr="000121EC">
        <w:rPr>
          <w:rFonts w:cs="Arial"/>
          <w:szCs w:val="21"/>
        </w:rPr>
        <w:t>AI</w:t>
      </w:r>
      <w:r w:rsidR="00D22647" w:rsidRPr="000121EC">
        <w:rPr>
          <w:rFonts w:cs="Arial"/>
          <w:szCs w:val="21"/>
        </w:rPr>
        <w:t>-related sector and their market prices.</w:t>
      </w:r>
    </w:p>
    <w:p w14:paraId="7874900B" w14:textId="77777777" w:rsidR="00EC747B" w:rsidRPr="000121EC" w:rsidRDefault="00EC747B" w:rsidP="00F50C96">
      <w:pPr>
        <w:spacing w:after="0" w:line="360" w:lineRule="auto"/>
        <w:ind w:left="720"/>
        <w:jc w:val="both"/>
        <w:rPr>
          <w:rFonts w:cs="Arial"/>
          <w:szCs w:val="21"/>
        </w:rPr>
      </w:pPr>
    </w:p>
    <w:p w14:paraId="05F6BA12" w14:textId="14ED8D60" w:rsidR="008942F8" w:rsidRPr="000121EC" w:rsidRDefault="002F7A2B" w:rsidP="00F50C96">
      <w:pPr>
        <w:spacing w:after="0" w:line="360" w:lineRule="auto"/>
        <w:ind w:left="720"/>
        <w:jc w:val="both"/>
        <w:rPr>
          <w:rFonts w:cs="Arial"/>
          <w:szCs w:val="21"/>
        </w:rPr>
      </w:pPr>
      <w:r w:rsidRPr="000121EC">
        <w:rPr>
          <w:rFonts w:cs="Arial"/>
          <w:szCs w:val="21"/>
        </w:rPr>
        <w:t xml:space="preserve">The stock-market measure captures a related but less direct channel. A high correlation between a national equity index and the SOX semiconductor index indicates that the country’s </w:t>
      </w:r>
      <w:r w:rsidR="00895E26" w:rsidRPr="000121EC">
        <w:rPr>
          <w:rFonts w:cs="Arial"/>
          <w:szCs w:val="21"/>
        </w:rPr>
        <w:t xml:space="preserve">stock </w:t>
      </w:r>
      <w:r w:rsidRPr="000121EC">
        <w:rPr>
          <w:rFonts w:cs="Arial"/>
          <w:szCs w:val="21"/>
        </w:rPr>
        <w:t xml:space="preserve">market valuation is closely tied to the global </w:t>
      </w:r>
      <w:r w:rsidR="00171F0F" w:rsidRPr="000121EC">
        <w:rPr>
          <w:rFonts w:cs="Arial"/>
          <w:szCs w:val="21"/>
        </w:rPr>
        <w:t>chip</w:t>
      </w:r>
      <w:r w:rsidRPr="000121EC">
        <w:rPr>
          <w:rFonts w:cs="Arial"/>
          <w:szCs w:val="21"/>
        </w:rPr>
        <w:t xml:space="preserve"> cycle. That relationship could transmit favourable semiconductor demand to financing conditions and confidence</w:t>
      </w:r>
      <w:r w:rsidR="00171F0F" w:rsidRPr="000121EC">
        <w:rPr>
          <w:rFonts w:cs="Arial"/>
          <w:szCs w:val="21"/>
        </w:rPr>
        <w:t xml:space="preserve"> in a country</w:t>
      </w:r>
      <w:r w:rsidRPr="000121EC">
        <w:rPr>
          <w:rFonts w:cs="Arial"/>
          <w:szCs w:val="21"/>
        </w:rPr>
        <w:t>. It can equally transmit valuation corrections and global risk repricing. Because the variable is a financial co</w:t>
      </w:r>
      <w:r w:rsidR="000121EC" w:rsidRPr="000121EC">
        <w:rPr>
          <w:rFonts w:cs="Arial"/>
          <w:szCs w:val="21"/>
        </w:rPr>
        <w:t>-</w:t>
      </w:r>
      <w:r w:rsidRPr="000121EC">
        <w:rPr>
          <w:rFonts w:cs="Arial"/>
          <w:szCs w:val="21"/>
        </w:rPr>
        <w:t>movement measure rather than a</w:t>
      </w:r>
      <w:r w:rsidR="00B437F4" w:rsidRPr="000121EC">
        <w:rPr>
          <w:rFonts w:cs="Arial"/>
          <w:szCs w:val="21"/>
        </w:rPr>
        <w:t xml:space="preserve"> measure </w:t>
      </w:r>
      <w:r w:rsidRPr="000121EC">
        <w:rPr>
          <w:rFonts w:cs="Arial"/>
          <w:szCs w:val="21"/>
        </w:rPr>
        <w:t xml:space="preserve">of domestic production or exports, </w:t>
      </w:r>
      <w:r w:rsidR="00B437F4" w:rsidRPr="000121EC">
        <w:rPr>
          <w:rFonts w:cs="Arial"/>
          <w:szCs w:val="21"/>
        </w:rPr>
        <w:t xml:space="preserve">we </w:t>
      </w:r>
      <w:r w:rsidRPr="000121EC">
        <w:rPr>
          <w:rFonts w:cs="Arial"/>
          <w:szCs w:val="21"/>
        </w:rPr>
        <w:t>treats it as an exposure indicator rather than a direct measure of productive AI capacity.</w:t>
      </w:r>
    </w:p>
    <w:p w14:paraId="7719EBBD" w14:textId="77777777" w:rsidR="00A72A5D" w:rsidRPr="000121EC" w:rsidRDefault="00A72A5D" w:rsidP="00F50C96">
      <w:pPr>
        <w:spacing w:after="0" w:line="360" w:lineRule="auto"/>
        <w:ind w:left="720"/>
        <w:jc w:val="both"/>
        <w:rPr>
          <w:rFonts w:cs="Arial"/>
          <w:szCs w:val="21"/>
        </w:rPr>
      </w:pPr>
    </w:p>
    <w:p w14:paraId="654CF278" w14:textId="10C4C0AA" w:rsidR="008942F8" w:rsidRPr="000121EC" w:rsidRDefault="002F7A2B" w:rsidP="00F50C96">
      <w:pPr>
        <w:pStyle w:val="Heading1"/>
        <w:spacing w:before="0" w:after="0" w:line="360" w:lineRule="auto"/>
        <w:ind w:left="720"/>
        <w:jc w:val="both"/>
        <w:rPr>
          <w:rFonts w:ascii="Arial" w:hAnsi="Arial" w:cs="Arial"/>
          <w:color w:val="auto"/>
          <w:sz w:val="21"/>
          <w:szCs w:val="21"/>
        </w:rPr>
      </w:pPr>
      <w:r w:rsidRPr="00246774">
        <w:rPr>
          <w:rFonts w:ascii="Arial" w:hAnsi="Arial" w:cs="Arial"/>
          <w:color w:val="auto"/>
          <w:sz w:val="21"/>
          <w:szCs w:val="21"/>
        </w:rPr>
        <w:t>3. Data and empirical approach</w:t>
      </w:r>
    </w:p>
    <w:p w14:paraId="53FECCB2" w14:textId="77777777" w:rsidR="008942F8" w:rsidRPr="000121EC" w:rsidRDefault="002F7A2B" w:rsidP="00F50C96">
      <w:pPr>
        <w:pStyle w:val="Heading2"/>
        <w:spacing w:before="0" w:after="0" w:line="360" w:lineRule="auto"/>
        <w:ind w:left="720"/>
        <w:jc w:val="both"/>
        <w:rPr>
          <w:rFonts w:ascii="Arial" w:hAnsi="Arial" w:cs="Arial"/>
          <w:color w:val="auto"/>
          <w:sz w:val="21"/>
          <w:szCs w:val="21"/>
        </w:rPr>
      </w:pPr>
      <w:r w:rsidRPr="000121EC">
        <w:rPr>
          <w:rFonts w:ascii="Arial" w:hAnsi="Arial" w:cs="Arial"/>
          <w:color w:val="auto"/>
          <w:sz w:val="21"/>
          <w:szCs w:val="21"/>
        </w:rPr>
        <w:t>3.1 Data</w:t>
      </w:r>
    </w:p>
    <w:p w14:paraId="70FFA01A" w14:textId="25F2089E" w:rsidR="008942F8" w:rsidRPr="000121EC" w:rsidRDefault="002F7A2B" w:rsidP="00F50C96">
      <w:pPr>
        <w:spacing w:after="0" w:line="360" w:lineRule="auto"/>
        <w:ind w:left="720"/>
        <w:jc w:val="both"/>
        <w:rPr>
          <w:rFonts w:cs="Arial"/>
          <w:szCs w:val="21"/>
        </w:rPr>
      </w:pPr>
      <w:r w:rsidRPr="000121EC">
        <w:rPr>
          <w:rFonts w:cs="Arial"/>
          <w:szCs w:val="21"/>
        </w:rPr>
        <w:t xml:space="preserve">The </w:t>
      </w:r>
      <w:r w:rsidR="003C618B">
        <w:rPr>
          <w:rFonts w:cs="Arial"/>
          <w:szCs w:val="21"/>
        </w:rPr>
        <w:t xml:space="preserve">GDP growth surprise is </w:t>
      </w:r>
      <w:r w:rsidR="00003497">
        <w:rPr>
          <w:rFonts w:cs="Arial"/>
          <w:szCs w:val="21"/>
        </w:rPr>
        <w:t xml:space="preserve">based on </w:t>
      </w:r>
      <w:r w:rsidRPr="000121EC">
        <w:rPr>
          <w:rFonts w:cs="Arial"/>
          <w:szCs w:val="21"/>
        </w:rPr>
        <w:t xml:space="preserve">European Commission Spring and Autumn forecast vintages </w:t>
      </w:r>
      <w:r w:rsidR="00AB2A14">
        <w:rPr>
          <w:rFonts w:cs="Arial"/>
          <w:szCs w:val="21"/>
        </w:rPr>
        <w:t xml:space="preserve">and data of </w:t>
      </w:r>
      <w:r w:rsidRPr="000121EC">
        <w:rPr>
          <w:rFonts w:cs="Arial"/>
          <w:szCs w:val="21"/>
        </w:rPr>
        <w:t xml:space="preserve">realised annual GDP growth. For each country </w:t>
      </w:r>
      <w:r w:rsidR="00917F05" w:rsidRPr="000121EC">
        <w:rPr>
          <w:rFonts w:cs="Arial"/>
          <w:szCs w:val="21"/>
        </w:rPr>
        <w:t xml:space="preserve">in the panel </w:t>
      </w:r>
      <w:r w:rsidRPr="000121EC">
        <w:rPr>
          <w:rFonts w:cs="Arial"/>
          <w:szCs w:val="21"/>
        </w:rPr>
        <w:t xml:space="preserve">and </w:t>
      </w:r>
      <w:r w:rsidR="00917F05" w:rsidRPr="000121EC">
        <w:rPr>
          <w:rFonts w:cs="Arial"/>
          <w:szCs w:val="21"/>
        </w:rPr>
        <w:t xml:space="preserve">for each </w:t>
      </w:r>
      <w:r w:rsidRPr="000121EC">
        <w:rPr>
          <w:rFonts w:cs="Arial"/>
          <w:szCs w:val="21"/>
        </w:rPr>
        <w:t xml:space="preserve">forecast observation, the </w:t>
      </w:r>
      <w:r w:rsidR="00917F05" w:rsidRPr="000121EC">
        <w:rPr>
          <w:rFonts w:cs="Arial"/>
          <w:szCs w:val="21"/>
        </w:rPr>
        <w:t>growth</w:t>
      </w:r>
      <w:r w:rsidRPr="000121EC">
        <w:rPr>
          <w:rFonts w:cs="Arial"/>
          <w:szCs w:val="21"/>
        </w:rPr>
        <w:t xml:space="preserve"> surprise is </w:t>
      </w:r>
      <w:r w:rsidR="00003497">
        <w:rPr>
          <w:rFonts w:cs="Arial"/>
          <w:szCs w:val="21"/>
        </w:rPr>
        <w:t>constructed</w:t>
      </w:r>
      <w:r w:rsidR="00917F05" w:rsidRPr="000121EC">
        <w:rPr>
          <w:rFonts w:cs="Arial"/>
          <w:szCs w:val="21"/>
        </w:rPr>
        <w:t xml:space="preserve"> as </w:t>
      </w:r>
      <w:r w:rsidRPr="000121EC">
        <w:rPr>
          <w:rFonts w:cs="Arial"/>
          <w:szCs w:val="21"/>
        </w:rPr>
        <w:t>realised growth minus forecast growth</w:t>
      </w:r>
      <w:r w:rsidR="00917F05" w:rsidRPr="000121EC">
        <w:rPr>
          <w:rFonts w:cs="Arial"/>
          <w:szCs w:val="21"/>
        </w:rPr>
        <w:t xml:space="preserve">. </w:t>
      </w:r>
      <w:r w:rsidR="00F76DD2" w:rsidRPr="000121EC">
        <w:rPr>
          <w:rFonts w:cs="Arial"/>
          <w:szCs w:val="21"/>
        </w:rPr>
        <w:t xml:space="preserve">The </w:t>
      </w:r>
      <w:r w:rsidRPr="000121EC">
        <w:rPr>
          <w:rFonts w:cs="Arial"/>
          <w:szCs w:val="21"/>
        </w:rPr>
        <w:t>binary outcome equals one when this difference is positive. Both current-year and next-year forecast horizons are used. The binary-outcome sample contains 548 observations for ten euro area countries over 2011–2025; 120 observations correspond to 2020, 2022 and 2025. These years are classified as shock</w:t>
      </w:r>
      <w:r w:rsidR="00F76DD2" w:rsidRPr="000121EC">
        <w:rPr>
          <w:rFonts w:cs="Arial"/>
          <w:szCs w:val="21"/>
        </w:rPr>
        <w:t xml:space="preserve"> year</w:t>
      </w:r>
      <w:r w:rsidRPr="000121EC">
        <w:rPr>
          <w:rFonts w:cs="Arial"/>
          <w:szCs w:val="21"/>
        </w:rPr>
        <w:t>s</w:t>
      </w:r>
      <w:r w:rsidR="00F76DD2" w:rsidRPr="000121EC">
        <w:rPr>
          <w:rFonts w:cs="Arial"/>
          <w:szCs w:val="21"/>
        </w:rPr>
        <w:t>, be</w:t>
      </w:r>
      <w:r w:rsidRPr="000121EC">
        <w:rPr>
          <w:rFonts w:cs="Arial"/>
          <w:szCs w:val="21"/>
        </w:rPr>
        <w:t xml:space="preserve">cause they coincide with peaks in the composite global uncertainty measure </w:t>
      </w:r>
      <w:r w:rsidR="00F76DD2" w:rsidRPr="000121EC">
        <w:rPr>
          <w:rFonts w:cs="Arial"/>
          <w:szCs w:val="21"/>
        </w:rPr>
        <w:t>(Figure 1)</w:t>
      </w:r>
      <w:r w:rsidRPr="000121EC">
        <w:rPr>
          <w:rFonts w:cs="Arial"/>
          <w:szCs w:val="21"/>
        </w:rPr>
        <w:t>.</w:t>
      </w:r>
    </w:p>
    <w:p w14:paraId="2E2A90EA" w14:textId="77777777" w:rsidR="00EC747B" w:rsidRPr="000121EC" w:rsidRDefault="00EC747B" w:rsidP="00F50C96">
      <w:pPr>
        <w:spacing w:after="0" w:line="360" w:lineRule="auto"/>
        <w:ind w:left="720"/>
        <w:jc w:val="both"/>
        <w:rPr>
          <w:rFonts w:cs="Arial"/>
          <w:szCs w:val="21"/>
        </w:rPr>
      </w:pPr>
    </w:p>
    <w:p w14:paraId="445A7D56" w14:textId="33CD5939" w:rsidR="008B1AFB" w:rsidRPr="000121EC" w:rsidRDefault="00024FC3" w:rsidP="008B1AFB">
      <w:pPr>
        <w:spacing w:after="0" w:line="360" w:lineRule="auto"/>
        <w:ind w:left="720"/>
        <w:jc w:val="both"/>
        <w:rPr>
          <w:rFonts w:cs="Arial"/>
          <w:szCs w:val="21"/>
        </w:rPr>
      </w:pPr>
      <w:r w:rsidRPr="000121EC">
        <w:rPr>
          <w:rFonts w:cs="Arial"/>
          <w:szCs w:val="21"/>
        </w:rPr>
        <w:t>Spring and Autumn forecasts differ</w:t>
      </w:r>
      <w:r w:rsidR="009073A9" w:rsidRPr="000121EC">
        <w:rPr>
          <w:rFonts w:cs="Arial"/>
          <w:szCs w:val="21"/>
        </w:rPr>
        <w:t xml:space="preserve"> in terms of the information that is available at the time of the forecast</w:t>
      </w:r>
      <w:r w:rsidR="00D90EC2" w:rsidRPr="000121EC">
        <w:rPr>
          <w:rFonts w:cs="Arial"/>
          <w:szCs w:val="21"/>
        </w:rPr>
        <w:t>. Moreover</w:t>
      </w:r>
      <w:r w:rsidRPr="000121EC">
        <w:rPr>
          <w:rFonts w:cs="Arial"/>
          <w:szCs w:val="21"/>
        </w:rPr>
        <w:t xml:space="preserve">, forecasts for t+1 are normally more uncertain than forecasts for the current year. The </w:t>
      </w:r>
      <w:r w:rsidR="00E51F2E" w:rsidRPr="000121EC">
        <w:rPr>
          <w:rFonts w:cs="Arial"/>
          <w:szCs w:val="21"/>
        </w:rPr>
        <w:t>regression</w:t>
      </w:r>
      <w:r w:rsidRPr="000121EC">
        <w:rPr>
          <w:rFonts w:cs="Arial"/>
          <w:szCs w:val="21"/>
        </w:rPr>
        <w:t xml:space="preserve"> models therefore include </w:t>
      </w:r>
      <w:r w:rsidR="00D90EC2" w:rsidRPr="000121EC">
        <w:rPr>
          <w:rFonts w:cs="Arial"/>
          <w:szCs w:val="21"/>
        </w:rPr>
        <w:t>forecast vintage control variables.</w:t>
      </w:r>
      <w:r w:rsidR="00E51F2E" w:rsidRPr="000121EC">
        <w:rPr>
          <w:rFonts w:cs="Arial"/>
          <w:szCs w:val="21"/>
        </w:rPr>
        <w:t xml:space="preserve"> </w:t>
      </w:r>
      <w:r w:rsidR="008B1AFB" w:rsidRPr="000121EC">
        <w:rPr>
          <w:rFonts w:cs="Arial"/>
          <w:szCs w:val="21"/>
        </w:rPr>
        <w:t xml:space="preserve">The four exposure channels enter the regressions one period </w:t>
      </w:r>
      <w:r w:rsidR="005D6AFA" w:rsidRPr="000121EC">
        <w:rPr>
          <w:rFonts w:cs="Arial"/>
          <w:szCs w:val="21"/>
        </w:rPr>
        <w:t>lagged</w:t>
      </w:r>
      <w:r w:rsidR="008B1AFB" w:rsidRPr="000121EC">
        <w:rPr>
          <w:rFonts w:cs="Arial"/>
          <w:szCs w:val="21"/>
        </w:rPr>
        <w:t>.</w:t>
      </w:r>
      <w:r w:rsidR="00421238" w:rsidRPr="000121EC">
        <w:rPr>
          <w:rFonts w:cs="Arial"/>
          <w:szCs w:val="21"/>
        </w:rPr>
        <w:t xml:space="preserve"> This </w:t>
      </w:r>
      <w:r w:rsidR="008B1AFB" w:rsidRPr="000121EC">
        <w:rPr>
          <w:rFonts w:cs="Arial"/>
          <w:szCs w:val="21"/>
        </w:rPr>
        <w:t xml:space="preserve">is particularly </w:t>
      </w:r>
      <w:r w:rsidR="00E84984">
        <w:rPr>
          <w:rFonts w:cs="Arial"/>
          <w:szCs w:val="21"/>
        </w:rPr>
        <w:t>relevant</w:t>
      </w:r>
      <w:r w:rsidR="008B1AFB" w:rsidRPr="000121EC">
        <w:rPr>
          <w:rFonts w:cs="Arial"/>
          <w:szCs w:val="21"/>
        </w:rPr>
        <w:t xml:space="preserve"> for ratio variables</w:t>
      </w:r>
      <w:r w:rsidR="00421238" w:rsidRPr="000121EC">
        <w:rPr>
          <w:rFonts w:cs="Arial"/>
          <w:szCs w:val="21"/>
        </w:rPr>
        <w:t xml:space="preserve"> in shock years</w:t>
      </w:r>
      <w:r w:rsidR="008B1AFB" w:rsidRPr="000121EC">
        <w:rPr>
          <w:rFonts w:cs="Arial"/>
          <w:szCs w:val="21"/>
        </w:rPr>
        <w:t xml:space="preserve">: using the </w:t>
      </w:r>
      <w:r w:rsidR="00D56FE7" w:rsidRPr="000121EC">
        <w:rPr>
          <w:rFonts w:cs="Arial"/>
          <w:szCs w:val="21"/>
        </w:rPr>
        <w:t xml:space="preserve">variable </w:t>
      </w:r>
      <w:r w:rsidR="008B1AFB" w:rsidRPr="000121EC">
        <w:rPr>
          <w:rFonts w:cs="Arial"/>
          <w:szCs w:val="21"/>
        </w:rPr>
        <w:lastRenderedPageBreak/>
        <w:t>from the shock year can create a denominator effect if aggregate investment, exports or GDP</w:t>
      </w:r>
      <w:r w:rsidR="00D56FE7" w:rsidRPr="000121EC">
        <w:rPr>
          <w:rFonts w:cs="Arial"/>
          <w:szCs w:val="21"/>
        </w:rPr>
        <w:t xml:space="preserve"> </w:t>
      </w:r>
      <w:r w:rsidR="008738F3" w:rsidRPr="000121EC">
        <w:rPr>
          <w:rFonts w:cs="Arial"/>
          <w:szCs w:val="21"/>
        </w:rPr>
        <w:t>used in the denominator</w:t>
      </w:r>
      <w:r w:rsidR="008B1AFB" w:rsidRPr="000121EC">
        <w:rPr>
          <w:rFonts w:cs="Arial"/>
          <w:szCs w:val="21"/>
        </w:rPr>
        <w:t xml:space="preserve"> falls</w:t>
      </w:r>
      <w:r w:rsidR="008738F3" w:rsidRPr="000121EC">
        <w:rPr>
          <w:rFonts w:cs="Arial"/>
          <w:szCs w:val="21"/>
        </w:rPr>
        <w:t xml:space="preserve"> </w:t>
      </w:r>
      <w:r w:rsidR="00E84984">
        <w:rPr>
          <w:rFonts w:cs="Arial"/>
          <w:szCs w:val="21"/>
        </w:rPr>
        <w:t xml:space="preserve">because </w:t>
      </w:r>
      <w:r w:rsidR="00753F0D">
        <w:rPr>
          <w:rFonts w:cs="Arial"/>
          <w:szCs w:val="21"/>
        </w:rPr>
        <w:t xml:space="preserve">of </w:t>
      </w:r>
      <w:r w:rsidR="008738F3" w:rsidRPr="000121EC">
        <w:rPr>
          <w:rFonts w:cs="Arial"/>
          <w:szCs w:val="21"/>
        </w:rPr>
        <w:t>the shock</w:t>
      </w:r>
      <w:r w:rsidR="008B1AFB" w:rsidRPr="000121EC">
        <w:rPr>
          <w:rFonts w:cs="Arial"/>
          <w:szCs w:val="21"/>
        </w:rPr>
        <w:t>.</w:t>
      </w:r>
      <w:r w:rsidR="00F726DE" w:rsidRPr="000121EC">
        <w:rPr>
          <w:rFonts w:cs="Arial"/>
          <w:szCs w:val="21"/>
        </w:rPr>
        <w:t xml:space="preserve"> As controls we include state-aid and trade openness.</w:t>
      </w:r>
    </w:p>
    <w:p w14:paraId="216B4C9E" w14:textId="77777777" w:rsidR="00EC747B" w:rsidRPr="000121EC" w:rsidRDefault="00EC747B" w:rsidP="00F50C96">
      <w:pPr>
        <w:spacing w:after="0" w:line="360" w:lineRule="auto"/>
        <w:ind w:left="720"/>
        <w:jc w:val="both"/>
        <w:rPr>
          <w:rFonts w:cs="Arial"/>
          <w:szCs w:val="21"/>
        </w:rPr>
      </w:pPr>
    </w:p>
    <w:p w14:paraId="43DEB71B" w14:textId="7B503689" w:rsidR="00F726DE" w:rsidRPr="000121EC" w:rsidRDefault="0072313E" w:rsidP="00F726DE">
      <w:pPr>
        <w:spacing w:after="0" w:line="360" w:lineRule="auto"/>
        <w:ind w:left="720"/>
        <w:jc w:val="both"/>
        <w:rPr>
          <w:rFonts w:cs="Arial"/>
          <w:szCs w:val="21"/>
        </w:rPr>
      </w:pPr>
      <w:r w:rsidRPr="000121EC">
        <w:rPr>
          <w:rFonts w:cs="Arial"/>
          <w:szCs w:val="21"/>
        </w:rPr>
        <w:t xml:space="preserve">The </w:t>
      </w:r>
      <w:r w:rsidR="00A20271">
        <w:rPr>
          <w:rFonts w:cs="Arial"/>
          <w:szCs w:val="21"/>
        </w:rPr>
        <w:t xml:space="preserve">panel of countries </w:t>
      </w:r>
      <w:r w:rsidRPr="000121EC">
        <w:rPr>
          <w:rFonts w:cs="Arial"/>
          <w:szCs w:val="21"/>
        </w:rPr>
        <w:t>covers Austria, Belgium, Finland, France, Germany, Ireland, Italy, the Netherlands, Portugal and Spain</w:t>
      </w:r>
      <w:r w:rsidR="00A40D2B">
        <w:rPr>
          <w:rFonts w:cs="Arial"/>
          <w:szCs w:val="21"/>
        </w:rPr>
        <w:t xml:space="preserve">. </w:t>
      </w:r>
      <w:r w:rsidR="00625171">
        <w:rPr>
          <w:rFonts w:cs="Arial"/>
          <w:szCs w:val="21"/>
        </w:rPr>
        <w:t xml:space="preserve">The </w:t>
      </w:r>
      <w:r w:rsidRPr="000121EC">
        <w:rPr>
          <w:rFonts w:cs="Arial"/>
          <w:szCs w:val="21"/>
        </w:rPr>
        <w:t xml:space="preserve">ICT/AI </w:t>
      </w:r>
      <w:r w:rsidR="00625171">
        <w:rPr>
          <w:rFonts w:cs="Arial"/>
          <w:szCs w:val="21"/>
        </w:rPr>
        <w:t xml:space="preserve">variables are defined </w:t>
      </w:r>
      <w:r w:rsidR="0061123A">
        <w:rPr>
          <w:rFonts w:cs="Arial"/>
          <w:szCs w:val="21"/>
        </w:rPr>
        <w:t xml:space="preserve">as </w:t>
      </w:r>
      <w:r w:rsidR="00343FE0">
        <w:rPr>
          <w:rFonts w:cs="Arial"/>
          <w:szCs w:val="21"/>
        </w:rPr>
        <w:t xml:space="preserve">1) </w:t>
      </w:r>
      <w:r w:rsidR="0061123A">
        <w:rPr>
          <w:rFonts w:cs="Arial"/>
          <w:szCs w:val="21"/>
        </w:rPr>
        <w:t>ICT</w:t>
      </w:r>
      <w:r w:rsidR="00343FE0">
        <w:rPr>
          <w:rFonts w:cs="Arial"/>
          <w:szCs w:val="21"/>
        </w:rPr>
        <w:t>/</w:t>
      </w:r>
      <w:r w:rsidR="0061123A">
        <w:rPr>
          <w:rFonts w:cs="Arial"/>
          <w:szCs w:val="21"/>
        </w:rPr>
        <w:t xml:space="preserve">AI-related </w:t>
      </w:r>
      <w:r w:rsidRPr="000121EC">
        <w:rPr>
          <w:rFonts w:cs="Arial"/>
          <w:szCs w:val="21"/>
        </w:rPr>
        <w:t>investment</w:t>
      </w:r>
      <w:r w:rsidR="0061123A">
        <w:rPr>
          <w:rFonts w:cs="Arial"/>
          <w:szCs w:val="21"/>
        </w:rPr>
        <w:t xml:space="preserve"> as share of total gross fixed capital investment</w:t>
      </w:r>
      <w:r w:rsidR="00343FE0">
        <w:rPr>
          <w:rFonts w:cs="Arial"/>
          <w:szCs w:val="21"/>
        </w:rPr>
        <w:t>; 2)</w:t>
      </w:r>
      <w:r w:rsidRPr="000121EC">
        <w:rPr>
          <w:rFonts w:cs="Arial"/>
          <w:szCs w:val="21"/>
        </w:rPr>
        <w:t xml:space="preserve"> </w:t>
      </w:r>
      <w:r w:rsidR="00343FE0">
        <w:rPr>
          <w:rFonts w:cs="Arial"/>
          <w:szCs w:val="21"/>
        </w:rPr>
        <w:t xml:space="preserve">the number of </w:t>
      </w:r>
      <w:r w:rsidRPr="000121EC">
        <w:rPr>
          <w:rFonts w:cs="Arial"/>
          <w:szCs w:val="21"/>
        </w:rPr>
        <w:t>incoming AI equity investment</w:t>
      </w:r>
      <w:r w:rsidR="00343FE0">
        <w:rPr>
          <w:rFonts w:cs="Arial"/>
          <w:szCs w:val="21"/>
        </w:rPr>
        <w:t>; 3)</w:t>
      </w:r>
      <w:r w:rsidRPr="000121EC">
        <w:rPr>
          <w:rFonts w:cs="Arial"/>
          <w:szCs w:val="21"/>
        </w:rPr>
        <w:t xml:space="preserve"> ICT/AI-related goods exports</w:t>
      </w:r>
      <w:r w:rsidR="00290313">
        <w:rPr>
          <w:rFonts w:cs="Arial"/>
          <w:szCs w:val="21"/>
        </w:rPr>
        <w:t xml:space="preserve"> as a share of total goods export; 4) </w:t>
      </w:r>
      <w:r w:rsidR="00AD5DC6">
        <w:rPr>
          <w:rFonts w:cs="Arial"/>
          <w:szCs w:val="21"/>
        </w:rPr>
        <w:t xml:space="preserve">Rolling </w:t>
      </w:r>
      <w:r w:rsidR="005F3CEF">
        <w:rPr>
          <w:rFonts w:cs="Arial"/>
          <w:szCs w:val="21"/>
        </w:rPr>
        <w:t xml:space="preserve">correlation </w:t>
      </w:r>
      <w:r w:rsidR="00AD5DC6">
        <w:rPr>
          <w:rFonts w:cs="Arial"/>
          <w:szCs w:val="21"/>
        </w:rPr>
        <w:t>of n</w:t>
      </w:r>
      <w:r w:rsidR="00AD5DC6" w:rsidRPr="000121EC">
        <w:rPr>
          <w:rFonts w:cs="Arial"/>
          <w:szCs w:val="21"/>
        </w:rPr>
        <w:t xml:space="preserve">ational stock-market </w:t>
      </w:r>
      <w:r w:rsidR="00AD5DC6">
        <w:rPr>
          <w:rFonts w:cs="Arial"/>
          <w:szCs w:val="21"/>
        </w:rPr>
        <w:t xml:space="preserve">index </w:t>
      </w:r>
      <w:r w:rsidRPr="000121EC">
        <w:rPr>
          <w:rFonts w:cs="Arial"/>
          <w:szCs w:val="21"/>
        </w:rPr>
        <w:t xml:space="preserve">with global semiconductor </w:t>
      </w:r>
      <w:r w:rsidR="00AD5DC6">
        <w:rPr>
          <w:rFonts w:cs="Arial"/>
          <w:szCs w:val="21"/>
        </w:rPr>
        <w:t>stock price index (SOX)</w:t>
      </w:r>
      <w:r w:rsidRPr="000121EC">
        <w:rPr>
          <w:rFonts w:cs="Arial"/>
          <w:szCs w:val="21"/>
        </w:rPr>
        <w:t xml:space="preserve">. </w:t>
      </w:r>
      <w:r w:rsidR="00F726DE" w:rsidRPr="000121EC">
        <w:rPr>
          <w:rFonts w:cs="Arial"/>
          <w:szCs w:val="21"/>
        </w:rPr>
        <w:t xml:space="preserve">Annex Table A1 </w:t>
      </w:r>
      <w:r w:rsidR="004F3EAD">
        <w:rPr>
          <w:rFonts w:cs="Arial"/>
          <w:szCs w:val="21"/>
        </w:rPr>
        <w:t>report</w:t>
      </w:r>
      <w:r w:rsidR="00F726DE" w:rsidRPr="000121EC">
        <w:rPr>
          <w:rFonts w:cs="Arial"/>
          <w:szCs w:val="21"/>
        </w:rPr>
        <w:t xml:space="preserve"> the construction, timing and sources of the </w:t>
      </w:r>
      <w:r w:rsidR="004F3EAD">
        <w:rPr>
          <w:rFonts w:cs="Arial"/>
          <w:szCs w:val="21"/>
        </w:rPr>
        <w:t>variables used in the empirical analysis</w:t>
      </w:r>
      <w:r w:rsidR="00F726DE" w:rsidRPr="000121EC">
        <w:rPr>
          <w:rFonts w:cs="Arial"/>
          <w:szCs w:val="21"/>
        </w:rPr>
        <w:t xml:space="preserve">. </w:t>
      </w:r>
    </w:p>
    <w:p w14:paraId="4CDE36DC" w14:textId="77777777" w:rsidR="006C400E" w:rsidRPr="000121EC" w:rsidRDefault="006C400E" w:rsidP="00F50C96">
      <w:pPr>
        <w:spacing w:after="0" w:line="360" w:lineRule="auto"/>
        <w:ind w:left="720"/>
        <w:jc w:val="both"/>
        <w:rPr>
          <w:rFonts w:cs="Arial"/>
          <w:szCs w:val="21"/>
        </w:rPr>
      </w:pPr>
    </w:p>
    <w:p w14:paraId="54EEE95F" w14:textId="4E83CC7A" w:rsidR="008942F8" w:rsidRPr="000121EC" w:rsidRDefault="002F7A2B" w:rsidP="00F50C96">
      <w:pPr>
        <w:pStyle w:val="Heading2"/>
        <w:spacing w:before="0" w:after="0" w:line="360" w:lineRule="auto"/>
        <w:ind w:left="720"/>
        <w:jc w:val="both"/>
        <w:rPr>
          <w:rFonts w:ascii="Arial" w:hAnsi="Arial" w:cs="Arial"/>
          <w:color w:val="auto"/>
          <w:sz w:val="21"/>
          <w:szCs w:val="21"/>
        </w:rPr>
      </w:pPr>
      <w:r w:rsidRPr="008F21BC">
        <w:rPr>
          <w:rFonts w:ascii="Arial" w:hAnsi="Arial" w:cs="Arial"/>
          <w:color w:val="auto"/>
          <w:sz w:val="21"/>
          <w:szCs w:val="21"/>
          <w:highlight w:val="yellow"/>
        </w:rPr>
        <w:t>3.2 Unconditional bivariate tests</w:t>
      </w:r>
    </w:p>
    <w:p w14:paraId="6C7BC8FC" w14:textId="0B9DF158" w:rsidR="008942F8" w:rsidRPr="000121EC" w:rsidRDefault="002F7A2B" w:rsidP="00F50C96">
      <w:pPr>
        <w:spacing w:after="0" w:line="360" w:lineRule="auto"/>
        <w:ind w:left="720"/>
        <w:jc w:val="both"/>
        <w:rPr>
          <w:rFonts w:cs="Arial"/>
          <w:szCs w:val="21"/>
        </w:rPr>
      </w:pPr>
      <w:r w:rsidRPr="000121EC">
        <w:rPr>
          <w:rFonts w:cs="Arial"/>
          <w:szCs w:val="21"/>
        </w:rPr>
        <w:t xml:space="preserve">For each </w:t>
      </w:r>
      <w:r w:rsidR="00646FC0">
        <w:rPr>
          <w:rFonts w:cs="Arial"/>
          <w:szCs w:val="21"/>
        </w:rPr>
        <w:t>ICT/AI</w:t>
      </w:r>
      <w:r w:rsidRPr="000121EC">
        <w:rPr>
          <w:rFonts w:cs="Arial"/>
          <w:szCs w:val="21"/>
        </w:rPr>
        <w:t xml:space="preserve"> exposure</w:t>
      </w:r>
      <w:r w:rsidR="00646FC0">
        <w:rPr>
          <w:rFonts w:cs="Arial"/>
          <w:szCs w:val="21"/>
        </w:rPr>
        <w:t xml:space="preserve"> variable</w:t>
      </w:r>
      <w:r w:rsidR="000B0AA0">
        <w:rPr>
          <w:rFonts w:cs="Arial"/>
          <w:szCs w:val="21"/>
        </w:rPr>
        <w:t xml:space="preserve"> the</w:t>
      </w:r>
      <w:r w:rsidRPr="000121EC">
        <w:rPr>
          <w:rFonts w:cs="Arial"/>
          <w:szCs w:val="21"/>
        </w:rPr>
        <w:t xml:space="preserve"> observations are divided at the time-varying median into lower- and higher-exposure groups. The share of positive growth surprises is then compared across groups, both for all years and for the shock-year subsample. The figures also compare, within each exposure group, the all-year and shock-year proportions. These comparisons are descriptive: they do not condition on country, target-year or forecast-type effects.</w:t>
      </w:r>
    </w:p>
    <w:p w14:paraId="62AF5FE2" w14:textId="77777777" w:rsidR="00EC747B" w:rsidRPr="000121EC" w:rsidRDefault="00EC747B" w:rsidP="00F50C96">
      <w:pPr>
        <w:spacing w:after="0" w:line="360" w:lineRule="auto"/>
        <w:ind w:left="720"/>
        <w:jc w:val="both"/>
        <w:rPr>
          <w:rFonts w:cs="Arial"/>
          <w:szCs w:val="21"/>
        </w:rPr>
      </w:pPr>
    </w:p>
    <w:p w14:paraId="63DA65D4" w14:textId="0CEC5CC3" w:rsidR="008942F8" w:rsidRPr="000121EC" w:rsidRDefault="002F7A2B" w:rsidP="00F50C96">
      <w:pPr>
        <w:spacing w:after="0" w:line="360" w:lineRule="auto"/>
        <w:ind w:left="720"/>
        <w:jc w:val="both"/>
        <w:rPr>
          <w:rFonts w:cs="Arial"/>
          <w:szCs w:val="21"/>
        </w:rPr>
      </w:pPr>
      <w:r w:rsidRPr="000121EC">
        <w:rPr>
          <w:rFonts w:cs="Arial"/>
          <w:szCs w:val="21"/>
        </w:rPr>
        <w:t>Inference recognises that observations for the same country are repeated and potentially dependent. Each percentage comparison is implemented as a difference in means of the binary surprise indicator, with a country-clustered sandwich covariance estimator and the same finite-sample cluster correction used in the regressions. This is equivalent to a simple LPM with the relevant group indicator and country-clustered inference. Asterisks mark lower-versus-higher exposure comparisons within a period; plus signs mark the all-year versus shock-year comparison within the same exposure group. With only ten countries, these tests should be read as indicative and not as precise large-cluster approximations.</w:t>
      </w:r>
    </w:p>
    <w:p w14:paraId="12D6E3D5" w14:textId="77777777" w:rsidR="00A72A5D" w:rsidRPr="000121EC" w:rsidRDefault="00A72A5D" w:rsidP="00F50C96">
      <w:pPr>
        <w:pStyle w:val="Heading2"/>
        <w:spacing w:before="0" w:after="0" w:line="360" w:lineRule="auto"/>
        <w:ind w:left="720"/>
        <w:jc w:val="both"/>
        <w:rPr>
          <w:rFonts w:ascii="Arial" w:hAnsi="Arial" w:cs="Arial"/>
          <w:color w:val="auto"/>
          <w:sz w:val="21"/>
          <w:szCs w:val="21"/>
        </w:rPr>
      </w:pPr>
    </w:p>
    <w:p w14:paraId="4C8160A3" w14:textId="38759B63" w:rsidR="008942F8" w:rsidRPr="000121EC" w:rsidRDefault="002F7A2B" w:rsidP="00F50C96">
      <w:pPr>
        <w:pStyle w:val="Heading2"/>
        <w:spacing w:before="0" w:after="0" w:line="360" w:lineRule="auto"/>
        <w:ind w:left="720"/>
        <w:jc w:val="both"/>
        <w:rPr>
          <w:rFonts w:ascii="Arial" w:hAnsi="Arial" w:cs="Arial"/>
          <w:color w:val="auto"/>
          <w:sz w:val="21"/>
          <w:szCs w:val="21"/>
        </w:rPr>
      </w:pPr>
      <w:r w:rsidRPr="000121EC">
        <w:rPr>
          <w:rFonts w:ascii="Arial" w:hAnsi="Arial" w:cs="Arial"/>
          <w:color w:val="auto"/>
          <w:sz w:val="21"/>
          <w:szCs w:val="21"/>
        </w:rPr>
        <w:t>3.3 Panel binary-response models</w:t>
      </w:r>
    </w:p>
    <w:p w14:paraId="1A653944" w14:textId="006A52D1" w:rsidR="008942F8" w:rsidRPr="000121EC" w:rsidRDefault="002F7A2B" w:rsidP="00F50C96">
      <w:pPr>
        <w:pStyle w:val="Heading3"/>
        <w:spacing w:before="0" w:after="0" w:line="360" w:lineRule="auto"/>
        <w:ind w:left="720"/>
        <w:jc w:val="both"/>
        <w:rPr>
          <w:rFonts w:ascii="Arial" w:hAnsi="Arial" w:cs="Arial"/>
          <w:color w:val="auto"/>
          <w:szCs w:val="21"/>
        </w:rPr>
      </w:pPr>
      <w:r w:rsidRPr="000121EC">
        <w:rPr>
          <w:rFonts w:ascii="Arial" w:hAnsi="Arial" w:cs="Arial"/>
          <w:color w:val="auto"/>
          <w:szCs w:val="21"/>
        </w:rPr>
        <w:t>Benchmark fixed-effects linear probability model</w:t>
      </w:r>
    </w:p>
    <w:p w14:paraId="551D7437" w14:textId="199A5144" w:rsidR="004A201F" w:rsidRPr="000121EC" w:rsidRDefault="008E0456" w:rsidP="003A7450">
      <w:pPr>
        <w:spacing w:after="0" w:line="360" w:lineRule="auto"/>
        <w:ind w:left="720"/>
        <w:jc w:val="both"/>
        <w:rPr>
          <w:rFonts w:cs="Arial"/>
          <w:szCs w:val="21"/>
        </w:rPr>
      </w:pPr>
      <w:r>
        <w:rPr>
          <w:rFonts w:cs="Arial"/>
          <w:szCs w:val="21"/>
        </w:rPr>
        <w:t>T</w:t>
      </w:r>
      <w:r w:rsidRPr="000121EC">
        <w:rPr>
          <w:rFonts w:cs="Arial"/>
          <w:szCs w:val="21"/>
        </w:rPr>
        <w:t>he benchmark binary-response model is a fixed-effects linear probability model (LPM).</w:t>
      </w:r>
      <w:r>
        <w:rPr>
          <w:rFonts w:cs="Arial"/>
          <w:szCs w:val="21"/>
        </w:rPr>
        <w:t xml:space="preserve"> </w:t>
      </w:r>
      <w:r w:rsidR="002F7A2B" w:rsidRPr="000121EC">
        <w:rPr>
          <w:rFonts w:cs="Arial"/>
          <w:szCs w:val="21"/>
        </w:rPr>
        <w:t>Let Dᵢⱼ</w:t>
      </w:r>
      <w:r w:rsidR="002F7A2B" w:rsidRPr="000121EC">
        <w:rPr>
          <w:rFonts w:ascii="Cambria Math" w:hAnsi="Cambria Math" w:cs="Cambria Math"/>
          <w:szCs w:val="21"/>
        </w:rPr>
        <w:t>ₜ</w:t>
      </w:r>
      <w:r w:rsidR="002F7A2B" w:rsidRPr="000121EC">
        <w:rPr>
          <w:rFonts w:cs="Arial"/>
          <w:szCs w:val="21"/>
        </w:rPr>
        <w:t xml:space="preserve"> equal one when realised growth for country </w:t>
      </w:r>
      <w:proofErr w:type="spellStart"/>
      <w:r w:rsidR="002F7A2B" w:rsidRPr="000121EC">
        <w:rPr>
          <w:rFonts w:cs="Arial"/>
          <w:szCs w:val="21"/>
        </w:rPr>
        <w:t>i</w:t>
      </w:r>
      <w:proofErr w:type="spellEnd"/>
      <w:r w:rsidR="002F7A2B" w:rsidRPr="000121EC">
        <w:rPr>
          <w:rFonts w:cs="Arial"/>
          <w:szCs w:val="21"/>
        </w:rPr>
        <w:t xml:space="preserve"> and target year t exceeds the forecast in observation j. Let Xᵢ,</w:t>
      </w:r>
      <w:r w:rsidR="002F7A2B" w:rsidRPr="000121EC">
        <w:rPr>
          <w:rFonts w:ascii="Cambria Math" w:hAnsi="Cambria Math" w:cs="Cambria Math"/>
          <w:szCs w:val="21"/>
        </w:rPr>
        <w:t>ₜ₋₁</w:t>
      </w:r>
      <w:r w:rsidR="002F7A2B" w:rsidRPr="000121EC">
        <w:rPr>
          <w:rFonts w:cs="Arial"/>
          <w:szCs w:val="21"/>
        </w:rPr>
        <w:t xml:space="preserve"> denote </w:t>
      </w:r>
      <w:r w:rsidR="00EC78F7">
        <w:rPr>
          <w:rFonts w:cs="Arial"/>
          <w:szCs w:val="21"/>
        </w:rPr>
        <w:t xml:space="preserve">the </w:t>
      </w:r>
      <w:r w:rsidR="00EC78F7" w:rsidRPr="000121EC">
        <w:rPr>
          <w:rFonts w:cs="Arial"/>
          <w:szCs w:val="21"/>
        </w:rPr>
        <w:t xml:space="preserve">standardised </w:t>
      </w:r>
      <w:r w:rsidR="002F7A2B" w:rsidRPr="000121EC">
        <w:rPr>
          <w:rFonts w:cs="Arial"/>
          <w:szCs w:val="21"/>
        </w:rPr>
        <w:t xml:space="preserve">one </w:t>
      </w:r>
      <w:r w:rsidR="00EC78F7">
        <w:rPr>
          <w:rFonts w:cs="Arial"/>
          <w:szCs w:val="21"/>
        </w:rPr>
        <w:t xml:space="preserve">period </w:t>
      </w:r>
      <w:r w:rsidR="002F7A2B" w:rsidRPr="000121EC">
        <w:rPr>
          <w:rFonts w:cs="Arial"/>
          <w:szCs w:val="21"/>
        </w:rPr>
        <w:t>lagged ICT/AI exposure</w:t>
      </w:r>
      <w:r w:rsidR="00EC78F7">
        <w:rPr>
          <w:rFonts w:cs="Arial"/>
          <w:szCs w:val="21"/>
        </w:rPr>
        <w:t xml:space="preserve"> variable (</w:t>
      </w:r>
      <w:r w:rsidR="003A7450" w:rsidRPr="003A7450">
        <w:rPr>
          <w:rFonts w:cs="Arial"/>
          <w:szCs w:val="21"/>
        </w:rPr>
        <w:t>limiting mechanical simultaneity with the growth surprise</w:t>
      </w:r>
      <w:r w:rsidR="00EC78F7">
        <w:rPr>
          <w:rFonts w:cs="Arial"/>
          <w:szCs w:val="21"/>
        </w:rPr>
        <w:t>)</w:t>
      </w:r>
      <w:r w:rsidR="002F7A2B" w:rsidRPr="000121EC">
        <w:rPr>
          <w:rFonts w:cs="Arial"/>
          <w:szCs w:val="21"/>
        </w:rPr>
        <w:t>; Q</w:t>
      </w:r>
      <w:r w:rsidR="002F7A2B" w:rsidRPr="000121EC">
        <w:rPr>
          <w:rFonts w:ascii="Cambria Math" w:hAnsi="Cambria Math" w:cs="Cambria Math"/>
          <w:szCs w:val="21"/>
        </w:rPr>
        <w:t>ₜ</w:t>
      </w:r>
      <w:r w:rsidR="002F7A2B" w:rsidRPr="000121EC">
        <w:rPr>
          <w:rFonts w:cs="Arial"/>
          <w:szCs w:val="21"/>
        </w:rPr>
        <w:t xml:space="preserve"> is the shock-year indicator; Zᵢⱼ</w:t>
      </w:r>
      <w:r w:rsidR="002F7A2B" w:rsidRPr="000121EC">
        <w:rPr>
          <w:rFonts w:ascii="Cambria Math" w:hAnsi="Cambria Math" w:cs="Cambria Math"/>
          <w:szCs w:val="21"/>
        </w:rPr>
        <w:t>ₜ</w:t>
      </w:r>
      <w:r w:rsidR="002F7A2B" w:rsidRPr="000121EC">
        <w:rPr>
          <w:rFonts w:cs="Arial"/>
          <w:szCs w:val="21"/>
        </w:rPr>
        <w:t xml:space="preserve"> contains the standardised controls and forecast-type </w:t>
      </w:r>
      <w:r w:rsidR="002F7A2B" w:rsidRPr="000121EC">
        <w:rPr>
          <w:rFonts w:cs="Arial"/>
          <w:szCs w:val="21"/>
        </w:rPr>
        <w:lastRenderedPageBreak/>
        <w:t>indicators; αᵢ and τ</w:t>
      </w:r>
      <w:r w:rsidR="002F7A2B" w:rsidRPr="000121EC">
        <w:rPr>
          <w:rFonts w:ascii="Cambria Math" w:hAnsi="Cambria Math" w:cs="Cambria Math"/>
          <w:szCs w:val="21"/>
        </w:rPr>
        <w:t>ₜ</w:t>
      </w:r>
      <w:r w:rsidR="002F7A2B" w:rsidRPr="000121EC">
        <w:rPr>
          <w:rFonts w:cs="Arial"/>
          <w:szCs w:val="21"/>
        </w:rPr>
        <w:t xml:space="preserve"> denote country and target-year effects. Each focal exposure is estimated separately. </w:t>
      </w:r>
      <w:r w:rsidR="004A201F" w:rsidRPr="000121EC">
        <w:rPr>
          <w:rFonts w:cs="Arial"/>
          <w:szCs w:val="21"/>
        </w:rPr>
        <w:t>The three benchmark specifications are:</w:t>
      </w:r>
    </w:p>
    <w:p w14:paraId="1A0D8684" w14:textId="77777777" w:rsidR="004A201F" w:rsidRPr="000121EC" w:rsidRDefault="004A201F" w:rsidP="00F50C96">
      <w:pPr>
        <w:spacing w:after="0" w:line="360" w:lineRule="auto"/>
        <w:ind w:left="720"/>
        <w:jc w:val="both"/>
        <w:rPr>
          <w:rFonts w:cs="Arial"/>
          <w:szCs w:val="21"/>
        </w:rPr>
      </w:pPr>
    </w:p>
    <w:tbl>
      <w:tblPr>
        <w:tblW w:w="7722" w:type="dxa"/>
        <w:tblInd w:w="900" w:type="dxa"/>
        <w:tblBorders>
          <w:top w:val="nil"/>
          <w:left w:val="nil"/>
          <w:bottom w:val="nil"/>
          <w:right w:val="nil"/>
          <w:insideH w:val="nil"/>
          <w:insideV w:val="nil"/>
        </w:tblBorders>
        <w:tblLayout w:type="fixed"/>
        <w:tblLook w:val="04A0" w:firstRow="1" w:lastRow="0" w:firstColumn="1" w:lastColumn="0" w:noHBand="0" w:noVBand="1"/>
      </w:tblPr>
      <w:tblGrid>
        <w:gridCol w:w="7470"/>
        <w:gridCol w:w="252"/>
      </w:tblGrid>
      <w:tr w:rsidR="004A201F" w:rsidRPr="000121EC" w14:paraId="7AFD65FE" w14:textId="77777777" w:rsidTr="00DD6F80">
        <w:trPr>
          <w:cantSplit/>
        </w:trPr>
        <w:tc>
          <w:tcPr>
            <w:tcW w:w="7470" w:type="dxa"/>
            <w:tcMar>
              <w:top w:w="30" w:type="dxa"/>
              <w:left w:w="0" w:type="dxa"/>
              <w:bottom w:w="30" w:type="dxa"/>
              <w:right w:w="0" w:type="dxa"/>
            </w:tcMar>
          </w:tcPr>
          <w:p w14:paraId="660045EF" w14:textId="77777777" w:rsidR="004A201F" w:rsidRPr="000121EC" w:rsidRDefault="004A201F" w:rsidP="00F50C96">
            <w:pPr>
              <w:spacing w:after="0"/>
              <w:jc w:val="both"/>
              <w:rPr>
                <w:rFonts w:cs="Arial"/>
                <w:szCs w:val="21"/>
              </w:rPr>
            </w:pPr>
            <w:r w:rsidRPr="000121EC">
              <w:rPr>
                <w:rFonts w:cs="Arial"/>
                <w:i/>
                <w:szCs w:val="21"/>
              </w:rPr>
              <w:t>Dᵢⱼ</w:t>
            </w:r>
            <w:r w:rsidRPr="000121EC">
              <w:rPr>
                <w:rFonts w:ascii="Cambria Math" w:hAnsi="Cambria Math" w:cs="Cambria Math"/>
                <w:i/>
                <w:szCs w:val="21"/>
              </w:rPr>
              <w:t>ₜ</w:t>
            </w:r>
            <w:r w:rsidRPr="000121EC">
              <w:rPr>
                <w:rFonts w:cs="Arial"/>
                <w:i/>
                <w:szCs w:val="21"/>
              </w:rPr>
              <w:t xml:space="preserve"> = αᵢ + τ</w:t>
            </w:r>
            <w:r w:rsidRPr="000121EC">
              <w:rPr>
                <w:rFonts w:ascii="Cambria Math" w:hAnsi="Cambria Math" w:cs="Cambria Math"/>
                <w:i/>
                <w:szCs w:val="21"/>
              </w:rPr>
              <w:t>ₜ</w:t>
            </w:r>
            <w:r w:rsidRPr="000121EC">
              <w:rPr>
                <w:rFonts w:cs="Arial"/>
                <w:i/>
                <w:szCs w:val="21"/>
              </w:rPr>
              <w:t xml:space="preserve"> + βXᵢ,</w:t>
            </w:r>
            <w:r w:rsidRPr="000121EC">
              <w:rPr>
                <w:rFonts w:ascii="Cambria Math" w:hAnsi="Cambria Math" w:cs="Cambria Math"/>
                <w:i/>
                <w:szCs w:val="21"/>
              </w:rPr>
              <w:t>ₜ₋₁</w:t>
            </w:r>
            <w:r w:rsidRPr="000121EC">
              <w:rPr>
                <w:rFonts w:cs="Arial"/>
                <w:i/>
                <w:szCs w:val="21"/>
              </w:rPr>
              <w:t xml:space="preserve"> + </w:t>
            </w:r>
            <w:proofErr w:type="spellStart"/>
            <w:r w:rsidRPr="000121EC">
              <w:rPr>
                <w:rFonts w:cs="Arial"/>
                <w:i/>
                <w:szCs w:val="21"/>
              </w:rPr>
              <w:t>φ′Z</w:t>
            </w:r>
            <w:proofErr w:type="spellEnd"/>
            <w:r w:rsidRPr="000121EC">
              <w:rPr>
                <w:rFonts w:cs="Arial"/>
                <w:i/>
                <w:szCs w:val="21"/>
              </w:rPr>
              <w:t>ᵢⱼ</w:t>
            </w:r>
            <w:r w:rsidRPr="000121EC">
              <w:rPr>
                <w:rFonts w:ascii="Cambria Math" w:hAnsi="Cambria Math" w:cs="Cambria Math"/>
                <w:i/>
                <w:szCs w:val="21"/>
              </w:rPr>
              <w:t>ₜ</w:t>
            </w:r>
            <w:r w:rsidRPr="000121EC">
              <w:rPr>
                <w:rFonts w:cs="Arial"/>
                <w:i/>
                <w:szCs w:val="21"/>
              </w:rPr>
              <w:t xml:space="preserve"> + εᵢⱼ</w:t>
            </w:r>
            <w:r w:rsidRPr="000121EC">
              <w:rPr>
                <w:rFonts w:ascii="Cambria Math" w:hAnsi="Cambria Math" w:cs="Cambria Math"/>
                <w:i/>
                <w:szCs w:val="21"/>
              </w:rPr>
              <w:t>ₜ</w:t>
            </w:r>
          </w:p>
        </w:tc>
        <w:tc>
          <w:tcPr>
            <w:tcW w:w="252" w:type="dxa"/>
            <w:tcMar>
              <w:top w:w="30" w:type="dxa"/>
              <w:left w:w="0" w:type="dxa"/>
              <w:bottom w:w="30" w:type="dxa"/>
              <w:right w:w="0" w:type="dxa"/>
            </w:tcMar>
          </w:tcPr>
          <w:p w14:paraId="3387C781" w14:textId="77777777" w:rsidR="004A201F" w:rsidRPr="000121EC" w:rsidRDefault="004A201F" w:rsidP="00F50C96">
            <w:pPr>
              <w:spacing w:after="0"/>
              <w:jc w:val="both"/>
              <w:rPr>
                <w:rFonts w:cs="Arial"/>
                <w:szCs w:val="21"/>
              </w:rPr>
            </w:pPr>
            <w:r w:rsidRPr="000121EC">
              <w:rPr>
                <w:rFonts w:cs="Arial"/>
                <w:szCs w:val="21"/>
              </w:rPr>
              <w:t>(1)</w:t>
            </w:r>
          </w:p>
        </w:tc>
      </w:tr>
      <w:tr w:rsidR="004A201F" w:rsidRPr="000121EC" w14:paraId="202DB6A9" w14:textId="77777777" w:rsidTr="00DD6F80">
        <w:trPr>
          <w:cantSplit/>
        </w:trPr>
        <w:tc>
          <w:tcPr>
            <w:tcW w:w="7470" w:type="dxa"/>
            <w:tcMar>
              <w:top w:w="30" w:type="dxa"/>
              <w:left w:w="0" w:type="dxa"/>
              <w:bottom w:w="30" w:type="dxa"/>
              <w:right w:w="0" w:type="dxa"/>
            </w:tcMar>
          </w:tcPr>
          <w:p w14:paraId="663EC213" w14:textId="77777777" w:rsidR="004A201F" w:rsidRPr="000121EC" w:rsidRDefault="004A201F" w:rsidP="00F50C96">
            <w:pPr>
              <w:spacing w:after="0"/>
              <w:jc w:val="both"/>
              <w:rPr>
                <w:rFonts w:cs="Arial"/>
                <w:szCs w:val="21"/>
              </w:rPr>
            </w:pPr>
            <w:r w:rsidRPr="000121EC">
              <w:rPr>
                <w:rFonts w:cs="Arial"/>
                <w:i/>
                <w:szCs w:val="21"/>
              </w:rPr>
              <w:t>Dᵢⱼ</w:t>
            </w:r>
            <w:r w:rsidRPr="000121EC">
              <w:rPr>
                <w:rFonts w:ascii="Cambria Math" w:hAnsi="Cambria Math" w:cs="Cambria Math"/>
                <w:i/>
                <w:szCs w:val="21"/>
              </w:rPr>
              <w:t>ₜ</w:t>
            </w:r>
            <w:r w:rsidRPr="000121EC">
              <w:rPr>
                <w:rFonts w:cs="Arial"/>
                <w:i/>
                <w:szCs w:val="21"/>
              </w:rPr>
              <w:t xml:space="preserve"> = αᵢ + τ</w:t>
            </w:r>
            <w:r w:rsidRPr="000121EC">
              <w:rPr>
                <w:rFonts w:ascii="Cambria Math" w:hAnsi="Cambria Math" w:cs="Cambria Math"/>
                <w:i/>
                <w:szCs w:val="21"/>
              </w:rPr>
              <w:t>ₜ</w:t>
            </w:r>
            <w:r w:rsidRPr="000121EC">
              <w:rPr>
                <w:rFonts w:cs="Arial"/>
                <w:i/>
                <w:szCs w:val="21"/>
              </w:rPr>
              <w:t xml:space="preserve"> + βXᵢ,</w:t>
            </w:r>
            <w:r w:rsidRPr="000121EC">
              <w:rPr>
                <w:rFonts w:ascii="Cambria Math" w:hAnsi="Cambria Math" w:cs="Cambria Math"/>
                <w:i/>
                <w:szCs w:val="21"/>
              </w:rPr>
              <w:t>ₜ₋₁</w:t>
            </w:r>
            <w:r w:rsidRPr="000121EC">
              <w:rPr>
                <w:rFonts w:cs="Arial"/>
                <w:i/>
                <w:szCs w:val="21"/>
              </w:rPr>
              <w:t xml:space="preserve"> + γ(Xᵢ,</w:t>
            </w:r>
            <w:r w:rsidRPr="000121EC">
              <w:rPr>
                <w:rFonts w:ascii="Cambria Math" w:hAnsi="Cambria Math" w:cs="Cambria Math"/>
                <w:i/>
                <w:szCs w:val="21"/>
              </w:rPr>
              <w:t>ₜ₋₁</w:t>
            </w:r>
            <w:r w:rsidRPr="000121EC">
              <w:rPr>
                <w:rFonts w:cs="Arial"/>
                <w:i/>
                <w:szCs w:val="21"/>
              </w:rPr>
              <w:t xml:space="preserve"> × Q</w:t>
            </w:r>
            <w:r w:rsidRPr="000121EC">
              <w:rPr>
                <w:rFonts w:ascii="Cambria Math" w:hAnsi="Cambria Math" w:cs="Cambria Math"/>
                <w:i/>
                <w:szCs w:val="21"/>
              </w:rPr>
              <w:t>ₜ</w:t>
            </w:r>
            <w:r w:rsidRPr="000121EC">
              <w:rPr>
                <w:rFonts w:cs="Arial"/>
                <w:i/>
                <w:szCs w:val="21"/>
              </w:rPr>
              <w:t xml:space="preserve">) + </w:t>
            </w:r>
            <w:proofErr w:type="spellStart"/>
            <w:r w:rsidRPr="000121EC">
              <w:rPr>
                <w:rFonts w:cs="Arial"/>
                <w:i/>
                <w:szCs w:val="21"/>
              </w:rPr>
              <w:t>φ′Z</w:t>
            </w:r>
            <w:proofErr w:type="spellEnd"/>
            <w:r w:rsidRPr="000121EC">
              <w:rPr>
                <w:rFonts w:cs="Arial"/>
                <w:i/>
                <w:szCs w:val="21"/>
              </w:rPr>
              <w:t>ᵢⱼ</w:t>
            </w:r>
            <w:r w:rsidRPr="000121EC">
              <w:rPr>
                <w:rFonts w:ascii="Cambria Math" w:hAnsi="Cambria Math" w:cs="Cambria Math"/>
                <w:i/>
                <w:szCs w:val="21"/>
              </w:rPr>
              <w:t>ₜ</w:t>
            </w:r>
            <w:r w:rsidRPr="000121EC">
              <w:rPr>
                <w:rFonts w:cs="Arial"/>
                <w:i/>
                <w:szCs w:val="21"/>
              </w:rPr>
              <w:t xml:space="preserve"> + εᵢⱼ</w:t>
            </w:r>
            <w:r w:rsidRPr="000121EC">
              <w:rPr>
                <w:rFonts w:ascii="Cambria Math" w:hAnsi="Cambria Math" w:cs="Cambria Math"/>
                <w:i/>
                <w:szCs w:val="21"/>
              </w:rPr>
              <w:t>ₜ</w:t>
            </w:r>
          </w:p>
        </w:tc>
        <w:tc>
          <w:tcPr>
            <w:tcW w:w="252" w:type="dxa"/>
            <w:tcMar>
              <w:top w:w="30" w:type="dxa"/>
              <w:left w:w="0" w:type="dxa"/>
              <w:bottom w:w="30" w:type="dxa"/>
              <w:right w:w="0" w:type="dxa"/>
            </w:tcMar>
          </w:tcPr>
          <w:p w14:paraId="10A83609" w14:textId="77777777" w:rsidR="004A201F" w:rsidRPr="000121EC" w:rsidRDefault="004A201F" w:rsidP="00F50C96">
            <w:pPr>
              <w:spacing w:after="0"/>
              <w:jc w:val="both"/>
              <w:rPr>
                <w:rFonts w:cs="Arial"/>
                <w:szCs w:val="21"/>
              </w:rPr>
            </w:pPr>
            <w:r w:rsidRPr="000121EC">
              <w:rPr>
                <w:rFonts w:cs="Arial"/>
                <w:szCs w:val="21"/>
              </w:rPr>
              <w:t>(2)</w:t>
            </w:r>
          </w:p>
        </w:tc>
      </w:tr>
      <w:tr w:rsidR="004A201F" w:rsidRPr="000121EC" w14:paraId="60499992" w14:textId="77777777" w:rsidTr="00DD6F80">
        <w:trPr>
          <w:cantSplit/>
        </w:trPr>
        <w:tc>
          <w:tcPr>
            <w:tcW w:w="7470" w:type="dxa"/>
            <w:tcMar>
              <w:top w:w="30" w:type="dxa"/>
              <w:left w:w="0" w:type="dxa"/>
              <w:bottom w:w="30" w:type="dxa"/>
              <w:right w:w="0" w:type="dxa"/>
            </w:tcMar>
          </w:tcPr>
          <w:p w14:paraId="14C53E80" w14:textId="77777777" w:rsidR="004A201F" w:rsidRPr="000121EC" w:rsidRDefault="004A201F" w:rsidP="00F50C96">
            <w:pPr>
              <w:spacing w:after="0"/>
              <w:jc w:val="both"/>
              <w:rPr>
                <w:rFonts w:cs="Arial"/>
                <w:szCs w:val="21"/>
              </w:rPr>
            </w:pPr>
            <w:r w:rsidRPr="000121EC">
              <w:rPr>
                <w:rFonts w:cs="Arial"/>
                <w:i/>
                <w:szCs w:val="21"/>
              </w:rPr>
              <w:t>Dᵢⱼ</w:t>
            </w:r>
            <w:r w:rsidRPr="000121EC">
              <w:rPr>
                <w:rFonts w:ascii="Cambria Math" w:hAnsi="Cambria Math" w:cs="Cambria Math"/>
                <w:i/>
                <w:szCs w:val="21"/>
              </w:rPr>
              <w:t>ₜ</w:t>
            </w:r>
            <w:r w:rsidRPr="000121EC">
              <w:rPr>
                <w:rFonts w:cs="Arial"/>
                <w:i/>
                <w:szCs w:val="21"/>
              </w:rPr>
              <w:t xml:space="preserve"> = αᵢ + τ</w:t>
            </w:r>
            <w:r w:rsidRPr="000121EC">
              <w:rPr>
                <w:rFonts w:ascii="Cambria Math" w:hAnsi="Cambria Math" w:cs="Cambria Math"/>
                <w:i/>
                <w:szCs w:val="21"/>
              </w:rPr>
              <w:t>ₜ</w:t>
            </w:r>
            <w:r w:rsidRPr="000121EC">
              <w:rPr>
                <w:rFonts w:cs="Arial"/>
                <w:i/>
                <w:szCs w:val="21"/>
              </w:rPr>
              <w:t xml:space="preserve"> + βHᵢ,</w:t>
            </w:r>
            <w:r w:rsidRPr="000121EC">
              <w:rPr>
                <w:rFonts w:ascii="Cambria Math" w:hAnsi="Cambria Math" w:cs="Cambria Math"/>
                <w:i/>
                <w:szCs w:val="21"/>
              </w:rPr>
              <w:t>ₜ₋₁</w:t>
            </w:r>
            <w:r w:rsidRPr="000121EC">
              <w:rPr>
                <w:rFonts w:cs="Arial"/>
                <w:i/>
                <w:szCs w:val="21"/>
              </w:rPr>
              <w:t xml:space="preserve"> + γ(Hᵢ,</w:t>
            </w:r>
            <w:r w:rsidRPr="000121EC">
              <w:rPr>
                <w:rFonts w:ascii="Cambria Math" w:hAnsi="Cambria Math" w:cs="Cambria Math"/>
                <w:i/>
                <w:szCs w:val="21"/>
              </w:rPr>
              <w:t>ₜ₋₁</w:t>
            </w:r>
            <w:r w:rsidRPr="000121EC">
              <w:rPr>
                <w:rFonts w:cs="Arial"/>
                <w:i/>
                <w:szCs w:val="21"/>
              </w:rPr>
              <w:t xml:space="preserve"> × Q</w:t>
            </w:r>
            <w:r w:rsidRPr="000121EC">
              <w:rPr>
                <w:rFonts w:ascii="Cambria Math" w:hAnsi="Cambria Math" w:cs="Cambria Math"/>
                <w:i/>
                <w:szCs w:val="21"/>
              </w:rPr>
              <w:t>ₜ</w:t>
            </w:r>
            <w:r w:rsidRPr="000121EC">
              <w:rPr>
                <w:rFonts w:cs="Arial"/>
                <w:i/>
                <w:szCs w:val="21"/>
              </w:rPr>
              <w:t xml:space="preserve">) + </w:t>
            </w:r>
            <w:proofErr w:type="spellStart"/>
            <w:r w:rsidRPr="000121EC">
              <w:rPr>
                <w:rFonts w:cs="Arial"/>
                <w:i/>
                <w:szCs w:val="21"/>
              </w:rPr>
              <w:t>φ′Z</w:t>
            </w:r>
            <w:proofErr w:type="spellEnd"/>
            <w:r w:rsidRPr="000121EC">
              <w:rPr>
                <w:rFonts w:cs="Arial"/>
                <w:i/>
                <w:szCs w:val="21"/>
              </w:rPr>
              <w:t>ᵢⱼ</w:t>
            </w:r>
            <w:r w:rsidRPr="000121EC">
              <w:rPr>
                <w:rFonts w:ascii="Cambria Math" w:hAnsi="Cambria Math" w:cs="Cambria Math"/>
                <w:i/>
                <w:szCs w:val="21"/>
              </w:rPr>
              <w:t>ₜ</w:t>
            </w:r>
            <w:r w:rsidRPr="000121EC">
              <w:rPr>
                <w:rFonts w:cs="Arial"/>
                <w:i/>
                <w:szCs w:val="21"/>
              </w:rPr>
              <w:t xml:space="preserve"> + εᵢⱼ</w:t>
            </w:r>
            <w:r w:rsidRPr="000121EC">
              <w:rPr>
                <w:rFonts w:ascii="Cambria Math" w:hAnsi="Cambria Math" w:cs="Cambria Math"/>
                <w:i/>
                <w:szCs w:val="21"/>
              </w:rPr>
              <w:t>ₜ</w:t>
            </w:r>
          </w:p>
        </w:tc>
        <w:tc>
          <w:tcPr>
            <w:tcW w:w="252" w:type="dxa"/>
            <w:tcMar>
              <w:top w:w="30" w:type="dxa"/>
              <w:left w:w="0" w:type="dxa"/>
              <w:bottom w:w="30" w:type="dxa"/>
              <w:right w:w="0" w:type="dxa"/>
            </w:tcMar>
          </w:tcPr>
          <w:p w14:paraId="6DFB6474" w14:textId="77777777" w:rsidR="004A201F" w:rsidRPr="000121EC" w:rsidRDefault="004A201F" w:rsidP="00F50C96">
            <w:pPr>
              <w:spacing w:after="0"/>
              <w:jc w:val="both"/>
              <w:rPr>
                <w:rFonts w:cs="Arial"/>
                <w:szCs w:val="21"/>
              </w:rPr>
            </w:pPr>
            <w:r w:rsidRPr="000121EC">
              <w:rPr>
                <w:rFonts w:cs="Arial"/>
                <w:szCs w:val="21"/>
              </w:rPr>
              <w:t>(3)</w:t>
            </w:r>
          </w:p>
        </w:tc>
      </w:tr>
    </w:tbl>
    <w:p w14:paraId="342B01F3" w14:textId="77777777" w:rsidR="004A201F" w:rsidRPr="000121EC" w:rsidRDefault="004A201F" w:rsidP="00F50C96">
      <w:pPr>
        <w:spacing w:after="0" w:line="360" w:lineRule="auto"/>
        <w:ind w:left="720"/>
        <w:jc w:val="both"/>
        <w:rPr>
          <w:rFonts w:cs="Arial"/>
          <w:szCs w:val="21"/>
        </w:rPr>
      </w:pPr>
    </w:p>
    <w:p w14:paraId="619B9278" w14:textId="13EE3319" w:rsidR="008942F8" w:rsidRPr="000121EC" w:rsidRDefault="004A201F" w:rsidP="00F50C96">
      <w:pPr>
        <w:spacing w:after="0" w:line="360" w:lineRule="auto"/>
        <w:ind w:left="720"/>
        <w:jc w:val="both"/>
        <w:rPr>
          <w:rFonts w:cs="Arial"/>
          <w:szCs w:val="21"/>
        </w:rPr>
      </w:pPr>
      <w:r w:rsidRPr="000121EC">
        <w:rPr>
          <w:rFonts w:cs="Arial"/>
          <w:szCs w:val="21"/>
        </w:rPr>
        <w:t>Here</w:t>
      </w:r>
      <w:r w:rsidR="002F7A2B" w:rsidRPr="000121EC">
        <w:rPr>
          <w:rFonts w:cs="Arial"/>
          <w:szCs w:val="21"/>
        </w:rPr>
        <w:t xml:space="preserve"> Hᵢ,</w:t>
      </w:r>
      <w:r w:rsidR="002F7A2B" w:rsidRPr="000121EC">
        <w:rPr>
          <w:rFonts w:ascii="Cambria Math" w:hAnsi="Cambria Math" w:cs="Cambria Math"/>
          <w:szCs w:val="21"/>
        </w:rPr>
        <w:t>ₜ₋₁</w:t>
      </w:r>
      <w:r w:rsidR="002F7A2B" w:rsidRPr="000121EC">
        <w:rPr>
          <w:rFonts w:cs="Arial"/>
          <w:szCs w:val="21"/>
        </w:rPr>
        <w:t xml:space="preserve"> equals the standardised exposure when it is above the sample median and zero otherwise. Because Q</w:t>
      </w:r>
      <w:r w:rsidR="002F7A2B" w:rsidRPr="000121EC">
        <w:rPr>
          <w:rFonts w:ascii="Cambria Math" w:hAnsi="Cambria Math" w:cs="Cambria Math"/>
          <w:szCs w:val="21"/>
        </w:rPr>
        <w:t>ₜ</w:t>
      </w:r>
      <w:r w:rsidR="002F7A2B" w:rsidRPr="000121EC">
        <w:rPr>
          <w:rFonts w:cs="Arial"/>
          <w:szCs w:val="21"/>
        </w:rPr>
        <w:t xml:space="preserve"> is constant within a target year, its main effect is absorbed by τ</w:t>
      </w:r>
      <w:r w:rsidR="002F7A2B" w:rsidRPr="000121EC">
        <w:rPr>
          <w:rFonts w:ascii="Cambria Math" w:hAnsi="Cambria Math" w:cs="Cambria Math"/>
          <w:szCs w:val="21"/>
        </w:rPr>
        <w:t>ₜ</w:t>
      </w:r>
      <w:r w:rsidR="002F7A2B" w:rsidRPr="000121EC">
        <w:rPr>
          <w:rFonts w:cs="Arial"/>
          <w:szCs w:val="21"/>
        </w:rPr>
        <w:t>. In model (1), β is the average all-year association. In model (2), γ is the additional association in shock years for the continuous exposure. In model (3), γ is the additional shock-year association in the upper-exposure part of the distribution. LPM coefficients are already marginal effects: β = 0.08 means that a one-standard-deviation increase in exposure is associated with an eight-percentage-point higher probability of a positive surprise. Country-clustered standard errors allow arbitrary heteroskedasticity and within-country dependence; t-tests use country-cluster degrees of freedom.</w:t>
      </w:r>
    </w:p>
    <w:p w14:paraId="47FB3456" w14:textId="77777777" w:rsidR="00A559AB" w:rsidRDefault="00A559AB" w:rsidP="00F50C96">
      <w:pPr>
        <w:pStyle w:val="Heading3"/>
        <w:spacing w:before="0" w:after="0" w:line="360" w:lineRule="auto"/>
        <w:ind w:left="720"/>
        <w:jc w:val="both"/>
        <w:rPr>
          <w:rFonts w:ascii="Arial" w:hAnsi="Arial" w:cs="Arial"/>
          <w:color w:val="auto"/>
          <w:szCs w:val="21"/>
        </w:rPr>
      </w:pPr>
    </w:p>
    <w:p w14:paraId="284EEEF2" w14:textId="05CA9678" w:rsidR="008942F8" w:rsidRPr="000121EC" w:rsidRDefault="00A72A5D" w:rsidP="00F50C96">
      <w:pPr>
        <w:pStyle w:val="Heading3"/>
        <w:spacing w:before="0" w:after="0" w:line="360" w:lineRule="auto"/>
        <w:ind w:left="720"/>
        <w:jc w:val="both"/>
        <w:rPr>
          <w:rFonts w:ascii="Arial" w:hAnsi="Arial" w:cs="Arial"/>
          <w:color w:val="auto"/>
          <w:szCs w:val="21"/>
        </w:rPr>
      </w:pPr>
      <w:r w:rsidRPr="000121EC">
        <w:rPr>
          <w:rFonts w:ascii="Arial" w:hAnsi="Arial" w:cs="Arial"/>
          <w:color w:val="auto"/>
          <w:szCs w:val="21"/>
        </w:rPr>
        <w:t>C</w:t>
      </w:r>
      <w:r w:rsidR="002F7A2B" w:rsidRPr="000121EC">
        <w:rPr>
          <w:rFonts w:ascii="Arial" w:hAnsi="Arial" w:cs="Arial"/>
          <w:color w:val="auto"/>
          <w:szCs w:val="21"/>
        </w:rPr>
        <w:t>orrelated-random-effects probit</w:t>
      </w:r>
      <w:r w:rsidRPr="000121EC">
        <w:rPr>
          <w:rFonts w:ascii="Arial" w:hAnsi="Arial" w:cs="Arial"/>
          <w:color w:val="auto"/>
          <w:szCs w:val="21"/>
        </w:rPr>
        <w:t xml:space="preserve"> model</w:t>
      </w:r>
    </w:p>
    <w:p w14:paraId="48B5E803" w14:textId="505B362F" w:rsidR="00F50C96" w:rsidRPr="000121EC" w:rsidRDefault="008E0456" w:rsidP="00F50C96">
      <w:pPr>
        <w:spacing w:after="0" w:line="360" w:lineRule="auto"/>
        <w:ind w:left="720"/>
        <w:jc w:val="both"/>
        <w:rPr>
          <w:rFonts w:cs="Arial"/>
          <w:szCs w:val="21"/>
        </w:rPr>
      </w:pPr>
      <w:r w:rsidRPr="000121EC">
        <w:rPr>
          <w:rFonts w:cs="Arial"/>
          <w:szCs w:val="21"/>
        </w:rPr>
        <w:t xml:space="preserve">A correlated-random-effects (CRE) probit using the </w:t>
      </w:r>
      <w:proofErr w:type="spellStart"/>
      <w:r w:rsidRPr="000121EC">
        <w:rPr>
          <w:rFonts w:cs="Arial"/>
          <w:szCs w:val="21"/>
        </w:rPr>
        <w:t>Mundlak</w:t>
      </w:r>
      <w:proofErr w:type="spellEnd"/>
      <w:r w:rsidRPr="000121EC">
        <w:rPr>
          <w:rFonts w:cs="Arial"/>
          <w:szCs w:val="21"/>
        </w:rPr>
        <w:t xml:space="preserve"> formulation is the nonlinear robustness model. </w:t>
      </w:r>
      <w:r w:rsidR="002F7A2B" w:rsidRPr="000121EC">
        <w:rPr>
          <w:rFonts w:cs="Arial"/>
          <w:szCs w:val="21"/>
        </w:rPr>
        <w:t xml:space="preserve">The nonlinear robustness model is a CRE probit. A conventional random-effects probit assumes that persistent country heterogeneity is independent of the entire history of ICT/AI exposure, an implausibly strong restriction when digital investment and trade structures are correlated with institutions, income, human capital, innovation capacity and industrial specialisation. The </w:t>
      </w:r>
      <w:proofErr w:type="spellStart"/>
      <w:r w:rsidR="002F7A2B" w:rsidRPr="000121EC">
        <w:rPr>
          <w:rFonts w:cs="Arial"/>
          <w:szCs w:val="21"/>
        </w:rPr>
        <w:t>Mundlak</w:t>
      </w:r>
      <w:proofErr w:type="spellEnd"/>
      <w:r w:rsidR="002F7A2B" w:rsidRPr="000121EC">
        <w:rPr>
          <w:rFonts w:cs="Arial"/>
          <w:szCs w:val="21"/>
        </w:rPr>
        <w:t xml:space="preserve"> approach addresses this concern by decomposing each time-varying regressor into its within-country deviation and country mean (</w:t>
      </w:r>
      <w:proofErr w:type="spellStart"/>
      <w:r w:rsidR="002F7A2B" w:rsidRPr="000121EC">
        <w:rPr>
          <w:rFonts w:cs="Arial"/>
          <w:szCs w:val="21"/>
        </w:rPr>
        <w:t>Mundlak</w:t>
      </w:r>
      <w:proofErr w:type="spellEnd"/>
      <w:r w:rsidR="002F7A2B" w:rsidRPr="000121EC">
        <w:rPr>
          <w:rFonts w:cs="Arial"/>
          <w:szCs w:val="21"/>
        </w:rPr>
        <w:t xml:space="preserve">, 1978). </w:t>
      </w:r>
      <w:r w:rsidR="00F50C96" w:rsidRPr="000121EC">
        <w:rPr>
          <w:rFonts w:cs="Arial"/>
          <w:szCs w:val="21"/>
        </w:rPr>
        <w:t>For the plain specification:</w:t>
      </w:r>
    </w:p>
    <w:p w14:paraId="230196EE" w14:textId="77777777" w:rsidR="00F50C96" w:rsidRPr="000121EC" w:rsidRDefault="00F50C96" w:rsidP="00F50C96">
      <w:pPr>
        <w:jc w:val="both"/>
        <w:rPr>
          <w:rFonts w:cs="Arial"/>
          <w:szCs w:val="21"/>
        </w:rPr>
      </w:pPr>
    </w:p>
    <w:tbl>
      <w:tblPr>
        <w:tblW w:w="8430" w:type="dxa"/>
        <w:jc w:val="center"/>
        <w:tblBorders>
          <w:top w:val="nil"/>
          <w:left w:val="nil"/>
          <w:bottom w:val="nil"/>
          <w:right w:val="nil"/>
          <w:insideH w:val="nil"/>
          <w:insideV w:val="nil"/>
        </w:tblBorders>
        <w:tblLayout w:type="fixed"/>
        <w:tblLook w:val="04A0" w:firstRow="1" w:lastRow="0" w:firstColumn="1" w:lastColumn="0" w:noHBand="0" w:noVBand="1"/>
      </w:tblPr>
      <w:tblGrid>
        <w:gridCol w:w="8190"/>
        <w:gridCol w:w="240"/>
      </w:tblGrid>
      <w:tr w:rsidR="00F50C96" w:rsidRPr="000121EC" w14:paraId="52DE5CCA" w14:textId="77777777" w:rsidTr="00292401">
        <w:trPr>
          <w:cantSplit/>
          <w:jc w:val="center"/>
        </w:trPr>
        <w:tc>
          <w:tcPr>
            <w:tcW w:w="8190" w:type="dxa"/>
            <w:tcMar>
              <w:top w:w="30" w:type="dxa"/>
              <w:left w:w="0" w:type="dxa"/>
              <w:bottom w:w="30" w:type="dxa"/>
              <w:right w:w="0" w:type="dxa"/>
            </w:tcMar>
          </w:tcPr>
          <w:p w14:paraId="059296F5" w14:textId="54DBE608" w:rsidR="00F50C96" w:rsidRPr="000121EC" w:rsidRDefault="00F50C96" w:rsidP="00292401">
            <w:pPr>
              <w:spacing w:after="0"/>
              <w:jc w:val="right"/>
              <w:rPr>
                <w:rFonts w:cs="Arial"/>
                <w:szCs w:val="21"/>
              </w:rPr>
            </w:pPr>
            <w:r w:rsidRPr="000121EC">
              <w:rPr>
                <w:rFonts w:cs="Arial"/>
                <w:i/>
                <w:szCs w:val="21"/>
              </w:rPr>
              <w:t>P(Dᵢⱼ</w:t>
            </w:r>
            <w:r w:rsidRPr="000121EC">
              <w:rPr>
                <w:rFonts w:ascii="Cambria Math" w:hAnsi="Cambria Math" w:cs="Cambria Math"/>
                <w:i/>
                <w:szCs w:val="21"/>
              </w:rPr>
              <w:t>ₜ</w:t>
            </w:r>
            <w:r w:rsidRPr="000121EC">
              <w:rPr>
                <w:rFonts w:cs="Arial"/>
                <w:i/>
                <w:szCs w:val="21"/>
              </w:rPr>
              <w:t xml:space="preserve"> = 1 | X, Z, aᵢ) = Φ[α + τ</w:t>
            </w:r>
            <w:r w:rsidRPr="000121EC">
              <w:rPr>
                <w:rFonts w:ascii="Cambria Math" w:hAnsi="Cambria Math" w:cs="Cambria Math"/>
                <w:i/>
                <w:szCs w:val="21"/>
              </w:rPr>
              <w:t>ₜ</w:t>
            </w:r>
            <w:r w:rsidRPr="000121EC">
              <w:rPr>
                <w:rFonts w:cs="Arial"/>
                <w:i/>
                <w:szCs w:val="21"/>
              </w:rPr>
              <w:t xml:space="preserve"> + βW(Xᵢ,</w:t>
            </w:r>
            <w:r w:rsidRPr="000121EC">
              <w:rPr>
                <w:rFonts w:ascii="Cambria Math" w:hAnsi="Cambria Math" w:cs="Cambria Math"/>
                <w:i/>
                <w:szCs w:val="21"/>
              </w:rPr>
              <w:t>ₜ₋₁</w:t>
            </w:r>
            <w:r w:rsidRPr="000121EC">
              <w:rPr>
                <w:rFonts w:cs="Arial"/>
                <w:i/>
                <w:szCs w:val="21"/>
              </w:rPr>
              <w:t xml:space="preserve"> − X̄ᵢ) + βB X̄ᵢ + </w:t>
            </w:r>
            <w:proofErr w:type="spellStart"/>
            <w:r w:rsidRPr="000121EC">
              <w:rPr>
                <w:rFonts w:cs="Arial"/>
                <w:i/>
                <w:szCs w:val="21"/>
              </w:rPr>
              <w:t>φW</w:t>
            </w:r>
            <w:proofErr w:type="spellEnd"/>
            <w:r w:rsidRPr="000121EC">
              <w:rPr>
                <w:rFonts w:cs="Arial"/>
                <w:i/>
                <w:szCs w:val="21"/>
              </w:rPr>
              <w:t>′(Zᵢⱼ</w:t>
            </w:r>
            <w:r w:rsidRPr="000121EC">
              <w:rPr>
                <w:rFonts w:ascii="Cambria Math" w:hAnsi="Cambria Math" w:cs="Cambria Math"/>
                <w:i/>
                <w:szCs w:val="21"/>
              </w:rPr>
              <w:t>ₜ</w:t>
            </w:r>
            <w:r w:rsidRPr="000121EC">
              <w:rPr>
                <w:rFonts w:cs="Arial"/>
                <w:i/>
                <w:szCs w:val="21"/>
              </w:rPr>
              <w:t xml:space="preserve"> − Z̄ᵢ)</w:t>
            </w:r>
            <w:r w:rsidR="00106A5D" w:rsidRPr="000121EC">
              <w:rPr>
                <w:rFonts w:cs="Arial"/>
                <w:i/>
                <w:szCs w:val="21"/>
              </w:rPr>
              <w:t xml:space="preserve"> + </w:t>
            </w:r>
            <w:proofErr w:type="spellStart"/>
            <w:r w:rsidR="00106A5D" w:rsidRPr="000121EC">
              <w:rPr>
                <w:rFonts w:cs="Arial"/>
                <w:i/>
                <w:szCs w:val="21"/>
              </w:rPr>
              <w:t>φB′Z</w:t>
            </w:r>
            <w:proofErr w:type="spellEnd"/>
            <w:r w:rsidR="00106A5D" w:rsidRPr="000121EC">
              <w:rPr>
                <w:rFonts w:cs="Arial"/>
                <w:i/>
                <w:szCs w:val="21"/>
              </w:rPr>
              <w:t>̄ᵢ + aᵢ]</w:t>
            </w:r>
            <w:r w:rsidRPr="000121EC">
              <w:rPr>
                <w:rFonts w:cs="Arial"/>
                <w:i/>
                <w:szCs w:val="21"/>
              </w:rPr>
              <w:t xml:space="preserve"> </w:t>
            </w:r>
          </w:p>
        </w:tc>
        <w:tc>
          <w:tcPr>
            <w:tcW w:w="240" w:type="dxa"/>
            <w:tcMar>
              <w:top w:w="30" w:type="dxa"/>
              <w:left w:w="0" w:type="dxa"/>
              <w:bottom w:w="30" w:type="dxa"/>
              <w:right w:w="0" w:type="dxa"/>
            </w:tcMar>
          </w:tcPr>
          <w:p w14:paraId="63B5DCA4" w14:textId="6A5B5E67" w:rsidR="00F50C96" w:rsidRPr="000121EC" w:rsidRDefault="00F50C96" w:rsidP="00292401">
            <w:pPr>
              <w:spacing w:after="0"/>
              <w:ind w:left="-828" w:hanging="648"/>
              <w:jc w:val="right"/>
              <w:rPr>
                <w:rFonts w:cs="Arial"/>
                <w:szCs w:val="21"/>
              </w:rPr>
            </w:pPr>
          </w:p>
        </w:tc>
      </w:tr>
    </w:tbl>
    <w:p w14:paraId="379A89B9" w14:textId="77777777" w:rsidR="00F50C96" w:rsidRPr="000121EC" w:rsidRDefault="00F50C96" w:rsidP="00292401">
      <w:pPr>
        <w:pStyle w:val="Equation"/>
        <w:jc w:val="center"/>
        <w:rPr>
          <w:rFonts w:cs="Arial"/>
          <w:color w:val="auto"/>
          <w:szCs w:val="21"/>
          <w:lang w:val="en-GB"/>
        </w:rPr>
      </w:pPr>
      <w:r w:rsidRPr="000121EC">
        <w:rPr>
          <w:rFonts w:cs="Arial"/>
          <w:i/>
          <w:color w:val="auto"/>
          <w:szCs w:val="21"/>
          <w:lang w:val="en-GB"/>
        </w:rPr>
        <w:t>aᵢ ~ N(0, σₐ²)</w:t>
      </w:r>
    </w:p>
    <w:p w14:paraId="3C92EC17" w14:textId="77777777" w:rsidR="00F50C96" w:rsidRPr="000121EC" w:rsidRDefault="00F50C96" w:rsidP="00F50C96">
      <w:pPr>
        <w:spacing w:after="0" w:line="360" w:lineRule="auto"/>
        <w:ind w:left="720"/>
        <w:jc w:val="both"/>
        <w:rPr>
          <w:rFonts w:cs="Arial"/>
          <w:szCs w:val="21"/>
        </w:rPr>
      </w:pPr>
    </w:p>
    <w:p w14:paraId="3F836A0F" w14:textId="0F07E2C2" w:rsidR="008942F8" w:rsidRPr="000121EC" w:rsidRDefault="00F50C96" w:rsidP="00F50C96">
      <w:pPr>
        <w:spacing w:after="0" w:line="360" w:lineRule="auto"/>
        <w:ind w:left="720"/>
        <w:jc w:val="both"/>
        <w:rPr>
          <w:rFonts w:cs="Arial"/>
          <w:szCs w:val="21"/>
        </w:rPr>
      </w:pPr>
      <w:r w:rsidRPr="000121EC">
        <w:rPr>
          <w:rFonts w:cs="Arial"/>
          <w:szCs w:val="21"/>
        </w:rPr>
        <w:t>Models</w:t>
      </w:r>
      <w:r w:rsidR="002F7A2B" w:rsidRPr="000121EC">
        <w:rPr>
          <w:rFonts w:cs="Arial"/>
          <w:szCs w:val="21"/>
        </w:rPr>
        <w:t xml:space="preserve"> (2) and (3) apply the same within/between decomposition to the exposure–shock interaction and to the above-median interaction. The direct forecast-vintage indicators enter in levels, while continuous time-varying controls receive the </w:t>
      </w:r>
      <w:proofErr w:type="spellStart"/>
      <w:r w:rsidR="002F7A2B" w:rsidRPr="000121EC">
        <w:rPr>
          <w:rFonts w:cs="Arial"/>
          <w:szCs w:val="21"/>
        </w:rPr>
        <w:t>Mundlak</w:t>
      </w:r>
      <w:proofErr w:type="spellEnd"/>
      <w:r w:rsidR="002F7A2B" w:rsidRPr="000121EC">
        <w:rPr>
          <w:rFonts w:cs="Arial"/>
          <w:szCs w:val="21"/>
        </w:rPr>
        <w:t xml:space="preserve"> decomposition. The coefficients of interest are βW for model (1) and </w:t>
      </w:r>
      <w:proofErr w:type="spellStart"/>
      <w:r w:rsidR="002F7A2B" w:rsidRPr="000121EC">
        <w:rPr>
          <w:rFonts w:cs="Arial"/>
          <w:szCs w:val="21"/>
        </w:rPr>
        <w:t>γW</w:t>
      </w:r>
      <w:proofErr w:type="spellEnd"/>
      <w:r w:rsidR="002F7A2B" w:rsidRPr="000121EC">
        <w:rPr>
          <w:rFonts w:cs="Arial"/>
          <w:szCs w:val="21"/>
        </w:rPr>
        <w:t xml:space="preserve"> for models (2) and (3): they describe within-country relationships after persistent between-country </w:t>
      </w:r>
      <w:r w:rsidR="002F7A2B" w:rsidRPr="000121EC">
        <w:rPr>
          <w:rFonts w:cs="Arial"/>
          <w:szCs w:val="21"/>
        </w:rPr>
        <w:lastRenderedPageBreak/>
        <w:t xml:space="preserve">differences are separated out. βB and </w:t>
      </w:r>
      <w:proofErr w:type="spellStart"/>
      <w:r w:rsidR="002F7A2B" w:rsidRPr="000121EC">
        <w:rPr>
          <w:rFonts w:cs="Arial"/>
          <w:szCs w:val="21"/>
        </w:rPr>
        <w:t>γB</w:t>
      </w:r>
      <w:proofErr w:type="spellEnd"/>
      <w:r w:rsidR="002F7A2B" w:rsidRPr="000121EC">
        <w:rPr>
          <w:rFonts w:cs="Arial"/>
          <w:szCs w:val="21"/>
        </w:rPr>
        <w:t xml:space="preserve"> are informative about between-country differences but are not the focal resilience parameters.</w:t>
      </w:r>
    </w:p>
    <w:p w14:paraId="4A91E829" w14:textId="77777777" w:rsidR="00EC747B" w:rsidRPr="000121EC" w:rsidRDefault="00EC747B" w:rsidP="00F50C96">
      <w:pPr>
        <w:spacing w:after="0" w:line="360" w:lineRule="auto"/>
        <w:ind w:left="720"/>
        <w:jc w:val="both"/>
        <w:rPr>
          <w:rFonts w:cs="Arial"/>
          <w:szCs w:val="21"/>
        </w:rPr>
      </w:pPr>
    </w:p>
    <w:p w14:paraId="2F889598" w14:textId="037F6D54" w:rsidR="008942F8" w:rsidRPr="000121EC" w:rsidRDefault="002F7A2B" w:rsidP="00F50C96">
      <w:pPr>
        <w:spacing w:after="0" w:line="360" w:lineRule="auto"/>
        <w:ind w:left="720"/>
        <w:jc w:val="both"/>
        <w:rPr>
          <w:rFonts w:cs="Arial"/>
          <w:szCs w:val="21"/>
        </w:rPr>
      </w:pPr>
      <w:r w:rsidRPr="000121EC">
        <w:rPr>
          <w:rFonts w:cs="Arial"/>
          <w:szCs w:val="21"/>
        </w:rPr>
        <w:t xml:space="preserve">Raw probit coefficients affect a latent index and are not percentage-point probability effects. We therefore report population-averaged marginal effects, obtained by integrating fitted probabilities over the estimated country random-intercept distribution and averaging the observation-level derivatives. Delta-method inference uses the country-clustered covariance matrix with the common finite-sample correction. The CRE probit is a robustness model rather than a causal solution: the </w:t>
      </w:r>
      <w:proofErr w:type="spellStart"/>
      <w:r w:rsidRPr="000121EC">
        <w:rPr>
          <w:rFonts w:cs="Arial"/>
          <w:szCs w:val="21"/>
        </w:rPr>
        <w:t>Mundlak</w:t>
      </w:r>
      <w:proofErr w:type="spellEnd"/>
      <w:r w:rsidRPr="000121EC">
        <w:rPr>
          <w:rFonts w:cs="Arial"/>
          <w:szCs w:val="21"/>
        </w:rPr>
        <w:t xml:space="preserve"> terms accommodate correlation with persistent observed regressor histories, but time-varying omitted variables and reverse causality can remain.</w:t>
      </w:r>
    </w:p>
    <w:p w14:paraId="562A17A7" w14:textId="77777777" w:rsidR="00A72A5D" w:rsidRPr="000121EC" w:rsidRDefault="00A72A5D" w:rsidP="00F50C96">
      <w:pPr>
        <w:pStyle w:val="Heading1"/>
        <w:spacing w:before="0" w:after="0" w:line="360" w:lineRule="auto"/>
        <w:ind w:left="720"/>
        <w:jc w:val="both"/>
        <w:rPr>
          <w:rFonts w:ascii="Arial" w:hAnsi="Arial" w:cs="Arial"/>
          <w:color w:val="auto"/>
          <w:sz w:val="21"/>
          <w:szCs w:val="21"/>
        </w:rPr>
      </w:pPr>
    </w:p>
    <w:p w14:paraId="25DFC163" w14:textId="08523E3B" w:rsidR="008942F8" w:rsidRPr="000121EC" w:rsidRDefault="002F7A2B" w:rsidP="00F50C96">
      <w:pPr>
        <w:pStyle w:val="Heading1"/>
        <w:spacing w:before="0" w:after="0" w:line="360" w:lineRule="auto"/>
        <w:ind w:left="720"/>
        <w:jc w:val="both"/>
        <w:rPr>
          <w:rFonts w:ascii="Arial" w:hAnsi="Arial" w:cs="Arial"/>
          <w:color w:val="auto"/>
          <w:sz w:val="21"/>
          <w:szCs w:val="21"/>
        </w:rPr>
      </w:pPr>
      <w:r w:rsidRPr="000121EC">
        <w:rPr>
          <w:rFonts w:ascii="Arial" w:hAnsi="Arial" w:cs="Arial"/>
          <w:color w:val="auto"/>
          <w:sz w:val="21"/>
          <w:szCs w:val="21"/>
        </w:rPr>
        <w:t>4. Results</w:t>
      </w:r>
    </w:p>
    <w:p w14:paraId="140AAC4A" w14:textId="77777777" w:rsidR="008942F8" w:rsidRPr="000121EC" w:rsidRDefault="002F7A2B" w:rsidP="00F50C96">
      <w:pPr>
        <w:pStyle w:val="Heading2"/>
        <w:spacing w:before="0" w:after="0" w:line="360" w:lineRule="auto"/>
        <w:ind w:left="720"/>
        <w:jc w:val="both"/>
        <w:rPr>
          <w:rFonts w:ascii="Arial" w:hAnsi="Arial" w:cs="Arial"/>
          <w:color w:val="auto"/>
          <w:sz w:val="21"/>
          <w:szCs w:val="21"/>
        </w:rPr>
      </w:pPr>
      <w:r w:rsidRPr="000121EC">
        <w:rPr>
          <w:rFonts w:ascii="Arial" w:hAnsi="Arial" w:cs="Arial"/>
          <w:color w:val="auto"/>
          <w:sz w:val="21"/>
          <w:szCs w:val="21"/>
        </w:rPr>
        <w:t>4.1 Positive growth surprises are more common in shock years</w:t>
      </w:r>
    </w:p>
    <w:p w14:paraId="788044A2" w14:textId="77777777" w:rsidR="008942F8" w:rsidRPr="000121EC" w:rsidRDefault="002F7A2B" w:rsidP="00F50C96">
      <w:pPr>
        <w:spacing w:after="0" w:line="360" w:lineRule="auto"/>
        <w:ind w:left="720"/>
        <w:jc w:val="both"/>
        <w:rPr>
          <w:rFonts w:cs="Arial"/>
          <w:szCs w:val="21"/>
        </w:rPr>
      </w:pPr>
      <w:r w:rsidRPr="000121EC">
        <w:rPr>
          <w:rFonts w:cs="Arial"/>
          <w:szCs w:val="21"/>
        </w:rPr>
        <w:t>Positive growth surprises account for about 54 percent of the full set of forecast observations and 78 percent of observations in the three shock years (Figure 2). The difference is statistically significant in the country-clustered comparison. This does not mean that output levels were high in 2020, 2022 or 2025. It means that realised annual growth more often exceeded the forecast attached to the relevant country, vintage and horizon. One interpretation is that forecasters appropriately marked down growth when uncertainty rose but, on average, marked it down by more than subsequent outcomes warranted. Another is that policy support and private adaptation limited the realised damage relative to the information available at the time of the forecast.</w:t>
      </w:r>
    </w:p>
    <w:p w14:paraId="6B7A42B9" w14:textId="77777777" w:rsidR="006C400E" w:rsidRDefault="006C400E" w:rsidP="00F50C96">
      <w:pPr>
        <w:spacing w:after="0" w:line="360" w:lineRule="auto"/>
        <w:ind w:left="720"/>
        <w:jc w:val="both"/>
        <w:rPr>
          <w:rFonts w:cs="Arial"/>
          <w:szCs w:val="21"/>
        </w:rPr>
      </w:pPr>
    </w:p>
    <w:p w14:paraId="7EDADF8D" w14:textId="601E36A6" w:rsidR="00A75158" w:rsidRPr="000121EC" w:rsidRDefault="00A75158" w:rsidP="00A75158">
      <w:pPr>
        <w:pStyle w:val="Caption"/>
        <w:spacing w:before="0" w:after="0"/>
        <w:ind w:left="720"/>
        <w:jc w:val="both"/>
        <w:rPr>
          <w:rFonts w:cs="Arial"/>
          <w:color w:val="auto"/>
          <w:sz w:val="21"/>
          <w:szCs w:val="21"/>
        </w:rPr>
      </w:pPr>
      <w:r w:rsidRPr="000121EC">
        <w:rPr>
          <w:rFonts w:cs="Arial"/>
          <w:color w:val="auto"/>
          <w:sz w:val="21"/>
          <w:szCs w:val="21"/>
        </w:rPr>
        <w:t>Figure 2. Share of positive growth surprises</w:t>
      </w:r>
    </w:p>
    <w:p w14:paraId="6BD5EC11" w14:textId="77777777" w:rsidR="008942F8" w:rsidRPr="000121EC" w:rsidRDefault="002F7A2B" w:rsidP="00A75158">
      <w:pPr>
        <w:spacing w:after="0" w:line="240" w:lineRule="auto"/>
        <w:ind w:left="720"/>
        <w:jc w:val="both"/>
        <w:rPr>
          <w:rFonts w:cs="Arial"/>
          <w:szCs w:val="21"/>
        </w:rPr>
      </w:pPr>
      <w:r w:rsidRPr="000121EC">
        <w:rPr>
          <w:rFonts w:cs="Arial"/>
          <w:noProof/>
          <w:szCs w:val="21"/>
        </w:rPr>
        <w:drawing>
          <wp:inline distT="0" distB="0" distL="0" distR="0" wp14:anchorId="78CD853F" wp14:editId="51626F74">
            <wp:extent cx="3262403" cy="2494779"/>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png"/>
                    <pic:cNvPicPr/>
                  </pic:nvPicPr>
                  <pic:blipFill>
                    <a:blip r:embed="rId9"/>
                    <a:stretch>
                      <a:fillRect/>
                    </a:stretch>
                  </pic:blipFill>
                  <pic:spPr>
                    <a:xfrm>
                      <a:off x="0" y="0"/>
                      <a:ext cx="3264033" cy="2496025"/>
                    </a:xfrm>
                    <a:prstGeom prst="rect">
                      <a:avLst/>
                    </a:prstGeom>
                  </pic:spPr>
                </pic:pic>
              </a:graphicData>
            </a:graphic>
          </wp:inline>
        </w:drawing>
      </w:r>
    </w:p>
    <w:p w14:paraId="69A226AD" w14:textId="236C8F46" w:rsidR="008942F8" w:rsidRPr="00A75158" w:rsidRDefault="002F7A2B" w:rsidP="00A75158">
      <w:pPr>
        <w:pStyle w:val="TableNote"/>
        <w:spacing w:after="0"/>
        <w:ind w:left="720"/>
        <w:jc w:val="both"/>
        <w:rPr>
          <w:rFonts w:cs="Arial"/>
          <w:i/>
          <w:color w:val="auto"/>
          <w:sz w:val="21"/>
          <w:szCs w:val="21"/>
          <w:lang w:val="en-GB"/>
        </w:rPr>
      </w:pPr>
      <w:r w:rsidRPr="00A75158">
        <w:rPr>
          <w:rFonts w:cs="Arial"/>
          <w:i/>
          <w:color w:val="auto"/>
          <w:sz w:val="21"/>
          <w:szCs w:val="21"/>
          <w:lang w:val="en-GB"/>
        </w:rPr>
        <w:t>Note: The full sample contains 548 forecast observations; the shock-year sample contains 120 observations for 2020, 2022 and 2025. The difference is evaluated with country-clustered inference.</w:t>
      </w:r>
    </w:p>
    <w:p w14:paraId="65E92CF8" w14:textId="77777777" w:rsidR="006C400E" w:rsidRDefault="006C400E" w:rsidP="00F50C96">
      <w:pPr>
        <w:pStyle w:val="TableNote"/>
        <w:spacing w:after="0" w:line="360" w:lineRule="auto"/>
        <w:ind w:left="720"/>
        <w:jc w:val="both"/>
        <w:rPr>
          <w:rFonts w:cs="Arial"/>
          <w:color w:val="auto"/>
          <w:sz w:val="21"/>
          <w:szCs w:val="21"/>
          <w:lang w:val="en-GB"/>
        </w:rPr>
      </w:pPr>
    </w:p>
    <w:p w14:paraId="0192EB41" w14:textId="77777777" w:rsidR="00A75158" w:rsidRPr="000121EC" w:rsidRDefault="00A75158" w:rsidP="00F50C96">
      <w:pPr>
        <w:pStyle w:val="TableNote"/>
        <w:spacing w:after="0" w:line="360" w:lineRule="auto"/>
        <w:ind w:left="720"/>
        <w:jc w:val="both"/>
        <w:rPr>
          <w:rFonts w:cs="Arial"/>
          <w:color w:val="auto"/>
          <w:sz w:val="21"/>
          <w:szCs w:val="21"/>
          <w:lang w:val="en-GB"/>
        </w:rPr>
      </w:pPr>
    </w:p>
    <w:p w14:paraId="0CB2B416" w14:textId="77777777" w:rsidR="008942F8" w:rsidRPr="000121EC" w:rsidRDefault="002F7A2B" w:rsidP="00F50C96">
      <w:pPr>
        <w:pStyle w:val="Heading2"/>
        <w:spacing w:before="0" w:after="0" w:line="360" w:lineRule="auto"/>
        <w:ind w:left="720"/>
        <w:jc w:val="both"/>
        <w:rPr>
          <w:rFonts w:ascii="Arial" w:hAnsi="Arial" w:cs="Arial"/>
          <w:color w:val="auto"/>
          <w:sz w:val="21"/>
          <w:szCs w:val="21"/>
        </w:rPr>
      </w:pPr>
      <w:r w:rsidRPr="000121EC">
        <w:rPr>
          <w:rFonts w:ascii="Arial" w:hAnsi="Arial" w:cs="Arial"/>
          <w:color w:val="auto"/>
          <w:sz w:val="21"/>
          <w:szCs w:val="21"/>
        </w:rPr>
        <w:t>4.2 Unconditional evidence: channel-specific patterns</w:t>
      </w:r>
    </w:p>
    <w:p w14:paraId="3EB35F6C" w14:textId="77777777" w:rsidR="008942F8" w:rsidRPr="000121EC" w:rsidRDefault="002F7A2B" w:rsidP="00F50C96">
      <w:pPr>
        <w:spacing w:after="0" w:line="360" w:lineRule="auto"/>
        <w:ind w:left="720"/>
        <w:jc w:val="both"/>
        <w:rPr>
          <w:rFonts w:cs="Arial"/>
          <w:szCs w:val="21"/>
        </w:rPr>
      </w:pPr>
      <w:r w:rsidRPr="000121EC">
        <w:rPr>
          <w:rFonts w:cs="Arial"/>
          <w:szCs w:val="21"/>
        </w:rPr>
        <w:t>The unconditional comparisons distinguish a structural investment pattern from a state-dependent trade pattern. For ICT/AI-related corporate investment, the higher-exposure group has a significantly larger share of positive surprises over all years. Both lower- and higher-exposure groups display substantially higher positive-surprise shares in shock years, but their within-shock difference is not significant. This pattern is consistent with installed digital capital supporting performance generally, while the common features of the selected shock years raise the surprise rate for both groups.</w:t>
      </w:r>
    </w:p>
    <w:p w14:paraId="106980BD" w14:textId="77777777" w:rsidR="00A75158" w:rsidRDefault="00A75158" w:rsidP="00A75158">
      <w:pPr>
        <w:pStyle w:val="Caption"/>
        <w:spacing w:before="0" w:after="0" w:line="360" w:lineRule="auto"/>
        <w:ind w:left="720"/>
        <w:jc w:val="both"/>
        <w:rPr>
          <w:rFonts w:cs="Arial"/>
          <w:color w:val="auto"/>
          <w:sz w:val="21"/>
          <w:szCs w:val="21"/>
        </w:rPr>
      </w:pPr>
    </w:p>
    <w:p w14:paraId="3ED7B49E" w14:textId="44855B5F" w:rsidR="00A75158" w:rsidRPr="000121EC" w:rsidRDefault="00A75158" w:rsidP="00A75158">
      <w:pPr>
        <w:pStyle w:val="Caption"/>
        <w:spacing w:before="0" w:after="0"/>
        <w:ind w:left="720"/>
        <w:jc w:val="both"/>
        <w:rPr>
          <w:rFonts w:cs="Arial"/>
          <w:color w:val="auto"/>
          <w:sz w:val="21"/>
          <w:szCs w:val="21"/>
        </w:rPr>
      </w:pPr>
      <w:r w:rsidRPr="000121EC">
        <w:rPr>
          <w:rFonts w:cs="Arial"/>
          <w:color w:val="auto"/>
          <w:sz w:val="21"/>
          <w:szCs w:val="21"/>
        </w:rPr>
        <w:t>Figure 3a. Comparisons for ICT/AI corporate investment and equity investment</w:t>
      </w:r>
    </w:p>
    <w:p w14:paraId="2171D6C3" w14:textId="77777777" w:rsidR="00EC747B" w:rsidRPr="000121EC" w:rsidRDefault="00EC747B" w:rsidP="00A75158">
      <w:pPr>
        <w:spacing w:after="0" w:line="240" w:lineRule="auto"/>
        <w:ind w:left="720"/>
        <w:jc w:val="both"/>
        <w:rPr>
          <w:rFonts w:cs="Arial"/>
          <w:szCs w:val="21"/>
        </w:rPr>
      </w:pPr>
    </w:p>
    <w:p w14:paraId="02608B41" w14:textId="77777777" w:rsidR="008942F8" w:rsidRPr="000121EC" w:rsidRDefault="002F7A2B" w:rsidP="00A75158">
      <w:pPr>
        <w:spacing w:after="0" w:line="240" w:lineRule="auto"/>
        <w:ind w:left="720"/>
        <w:jc w:val="both"/>
        <w:rPr>
          <w:rFonts w:cs="Arial"/>
          <w:szCs w:val="21"/>
        </w:rPr>
      </w:pPr>
      <w:r w:rsidRPr="000121EC">
        <w:rPr>
          <w:rFonts w:cs="Arial"/>
          <w:noProof/>
          <w:szCs w:val="21"/>
        </w:rPr>
        <w:drawing>
          <wp:inline distT="0" distB="0" distL="0" distR="0" wp14:anchorId="134FE35A" wp14:editId="7AD1AB5D">
            <wp:extent cx="4389120" cy="34325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a.png"/>
                    <pic:cNvPicPr/>
                  </pic:nvPicPr>
                  <pic:blipFill>
                    <a:blip r:embed="rId10"/>
                    <a:stretch>
                      <a:fillRect/>
                    </a:stretch>
                  </pic:blipFill>
                  <pic:spPr>
                    <a:xfrm>
                      <a:off x="0" y="0"/>
                      <a:ext cx="4389120" cy="3432516"/>
                    </a:xfrm>
                    <a:prstGeom prst="rect">
                      <a:avLst/>
                    </a:prstGeom>
                  </pic:spPr>
                </pic:pic>
              </a:graphicData>
            </a:graphic>
          </wp:inline>
        </w:drawing>
      </w:r>
    </w:p>
    <w:p w14:paraId="39D259DF" w14:textId="77777777" w:rsidR="00A75158" w:rsidRDefault="00A75158" w:rsidP="00A75158">
      <w:pPr>
        <w:pStyle w:val="TableNote"/>
        <w:spacing w:after="0"/>
        <w:ind w:left="720"/>
        <w:jc w:val="both"/>
        <w:rPr>
          <w:rFonts w:cs="Arial"/>
          <w:i/>
          <w:color w:val="auto"/>
          <w:sz w:val="21"/>
          <w:szCs w:val="21"/>
          <w:lang w:val="en-GB"/>
        </w:rPr>
      </w:pPr>
    </w:p>
    <w:p w14:paraId="1F330200" w14:textId="6A4024D8" w:rsidR="008942F8" w:rsidRPr="00A75158" w:rsidRDefault="002F7A2B" w:rsidP="00A75158">
      <w:pPr>
        <w:pStyle w:val="TableNote"/>
        <w:spacing w:after="0"/>
        <w:ind w:left="720"/>
        <w:jc w:val="both"/>
        <w:rPr>
          <w:rFonts w:cs="Arial"/>
          <w:i/>
          <w:color w:val="auto"/>
          <w:sz w:val="21"/>
          <w:szCs w:val="21"/>
          <w:lang w:val="en-GB"/>
        </w:rPr>
      </w:pPr>
      <w:r w:rsidRPr="00A75158">
        <w:rPr>
          <w:rFonts w:cs="Arial"/>
          <w:i/>
          <w:color w:val="auto"/>
          <w:sz w:val="21"/>
          <w:szCs w:val="21"/>
          <w:lang w:val="en-GB"/>
        </w:rPr>
        <w:t>Note: Asterisks compare lower- and higher-exposure groups within a period; plus signs compare all years with shock years within a group. Inference is clustered by country.</w:t>
      </w:r>
    </w:p>
    <w:p w14:paraId="697981AC" w14:textId="77777777" w:rsidR="006C400E" w:rsidRPr="000121EC" w:rsidRDefault="006C400E" w:rsidP="00F50C96">
      <w:pPr>
        <w:pStyle w:val="TableNote"/>
        <w:spacing w:after="0" w:line="360" w:lineRule="auto"/>
        <w:ind w:left="720"/>
        <w:jc w:val="both"/>
        <w:rPr>
          <w:rFonts w:cs="Arial"/>
          <w:color w:val="auto"/>
          <w:sz w:val="21"/>
          <w:szCs w:val="21"/>
          <w:lang w:val="en-GB"/>
        </w:rPr>
      </w:pPr>
    </w:p>
    <w:p w14:paraId="283A93AD" w14:textId="77777777" w:rsidR="00A75158" w:rsidRDefault="00A75158" w:rsidP="00F50C96">
      <w:pPr>
        <w:spacing w:after="0" w:line="360" w:lineRule="auto"/>
        <w:ind w:left="720"/>
        <w:jc w:val="both"/>
        <w:rPr>
          <w:rFonts w:cs="Arial"/>
          <w:szCs w:val="21"/>
        </w:rPr>
      </w:pPr>
    </w:p>
    <w:p w14:paraId="02E074BF" w14:textId="10CD1F68" w:rsidR="008942F8" w:rsidRPr="000121EC" w:rsidRDefault="002F7A2B" w:rsidP="00F50C96">
      <w:pPr>
        <w:spacing w:after="0" w:line="360" w:lineRule="auto"/>
        <w:ind w:left="720"/>
        <w:jc w:val="both"/>
        <w:rPr>
          <w:rFonts w:cs="Arial"/>
          <w:szCs w:val="21"/>
        </w:rPr>
      </w:pPr>
      <w:r w:rsidRPr="000121EC">
        <w:rPr>
          <w:rFonts w:cs="Arial"/>
          <w:szCs w:val="21"/>
        </w:rPr>
        <w:t>Incoming AI equity investment behaves differently. The lower- and higher-exposure groups are nearly indistinguishable in the full sample. In the shock subsample, the lower-exposure group has a higher positive-surprise share, although the cross-group difference is not statistically significant. This weak reversal is compatible with delayed returns or absorption costs, but the bivariate evidence cannot identify those mechanisms. It is equally possible that AI equity investment is concentrated in economies or years with different unobserved conditions.</w:t>
      </w:r>
    </w:p>
    <w:p w14:paraId="62846B34" w14:textId="77777777" w:rsidR="006C400E" w:rsidRPr="000121EC" w:rsidRDefault="006C400E" w:rsidP="00F50C96">
      <w:pPr>
        <w:spacing w:after="0" w:line="360" w:lineRule="auto"/>
        <w:ind w:left="720"/>
        <w:jc w:val="both"/>
        <w:rPr>
          <w:rFonts w:cs="Arial"/>
          <w:szCs w:val="21"/>
        </w:rPr>
      </w:pPr>
    </w:p>
    <w:p w14:paraId="77EB8672" w14:textId="77777777" w:rsidR="008942F8" w:rsidRPr="000121EC" w:rsidRDefault="002F7A2B" w:rsidP="00F50C96">
      <w:pPr>
        <w:spacing w:after="0" w:line="360" w:lineRule="auto"/>
        <w:ind w:left="720"/>
        <w:jc w:val="both"/>
        <w:rPr>
          <w:rFonts w:cs="Arial"/>
          <w:szCs w:val="21"/>
        </w:rPr>
      </w:pPr>
      <w:r w:rsidRPr="000121EC">
        <w:rPr>
          <w:rFonts w:cs="Arial"/>
          <w:szCs w:val="21"/>
        </w:rPr>
        <w:t>The export measure produces the sharpest shock-specific contrast. Lower- and higher-export-exposure groups have similar positive-surprise shares in the full sample. In shock years, the higher-exposure group rises much more strongly and exceeds the lower-exposure group; the within-shock difference is statistically significant in the updated country-clustered test. This is the descriptive result most consistent with strong external demand for ICT and semiconductor goods during recent disturbances.</w:t>
      </w:r>
    </w:p>
    <w:p w14:paraId="47BC3F39" w14:textId="77777777" w:rsidR="007E59DA" w:rsidRDefault="007E59DA" w:rsidP="007E59DA">
      <w:pPr>
        <w:pStyle w:val="Caption"/>
        <w:spacing w:before="0" w:after="0" w:line="360" w:lineRule="auto"/>
        <w:ind w:left="720"/>
        <w:jc w:val="both"/>
        <w:rPr>
          <w:rFonts w:cs="Arial"/>
          <w:color w:val="auto"/>
          <w:sz w:val="21"/>
          <w:szCs w:val="21"/>
        </w:rPr>
      </w:pPr>
    </w:p>
    <w:p w14:paraId="39CFC76F" w14:textId="18030AA6" w:rsidR="007E59DA" w:rsidRPr="000121EC" w:rsidRDefault="007E59DA" w:rsidP="007E59DA">
      <w:pPr>
        <w:pStyle w:val="Caption"/>
        <w:spacing w:before="0" w:after="0"/>
        <w:ind w:left="720"/>
        <w:jc w:val="both"/>
        <w:rPr>
          <w:rFonts w:cs="Arial"/>
          <w:color w:val="auto"/>
          <w:sz w:val="21"/>
          <w:szCs w:val="21"/>
        </w:rPr>
      </w:pPr>
      <w:r w:rsidRPr="000121EC">
        <w:rPr>
          <w:rFonts w:cs="Arial"/>
          <w:color w:val="auto"/>
          <w:sz w:val="21"/>
          <w:szCs w:val="21"/>
        </w:rPr>
        <w:t>Figure 3b. Comparisons for ICT/AI-related exports and semiconductor-market correlation</w:t>
      </w:r>
    </w:p>
    <w:p w14:paraId="2BDCDE87" w14:textId="77777777" w:rsidR="00EC747B" w:rsidRPr="000121EC" w:rsidRDefault="00EC747B" w:rsidP="007E59DA">
      <w:pPr>
        <w:spacing w:after="0" w:line="240" w:lineRule="auto"/>
        <w:ind w:left="720"/>
        <w:jc w:val="both"/>
        <w:rPr>
          <w:rFonts w:cs="Arial"/>
          <w:szCs w:val="21"/>
        </w:rPr>
      </w:pPr>
    </w:p>
    <w:p w14:paraId="2191B310" w14:textId="77777777" w:rsidR="008942F8" w:rsidRPr="000121EC" w:rsidRDefault="002F7A2B" w:rsidP="007E59DA">
      <w:pPr>
        <w:spacing w:after="0" w:line="240" w:lineRule="auto"/>
        <w:ind w:left="720"/>
        <w:jc w:val="both"/>
        <w:rPr>
          <w:rFonts w:cs="Arial"/>
          <w:szCs w:val="21"/>
        </w:rPr>
      </w:pPr>
      <w:r w:rsidRPr="000121EC">
        <w:rPr>
          <w:rFonts w:cs="Arial"/>
          <w:noProof/>
          <w:szCs w:val="21"/>
        </w:rPr>
        <w:drawing>
          <wp:inline distT="0" distB="0" distL="0" distR="0" wp14:anchorId="58A80D6A" wp14:editId="42177473">
            <wp:extent cx="4389120" cy="34325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b.png"/>
                    <pic:cNvPicPr/>
                  </pic:nvPicPr>
                  <pic:blipFill>
                    <a:blip r:embed="rId11"/>
                    <a:stretch>
                      <a:fillRect/>
                    </a:stretch>
                  </pic:blipFill>
                  <pic:spPr>
                    <a:xfrm>
                      <a:off x="0" y="0"/>
                      <a:ext cx="4389120" cy="3432516"/>
                    </a:xfrm>
                    <a:prstGeom prst="rect">
                      <a:avLst/>
                    </a:prstGeom>
                  </pic:spPr>
                </pic:pic>
              </a:graphicData>
            </a:graphic>
          </wp:inline>
        </w:drawing>
      </w:r>
    </w:p>
    <w:p w14:paraId="2840B843" w14:textId="1E806639" w:rsidR="008942F8" w:rsidRPr="007E59DA" w:rsidRDefault="002F7A2B" w:rsidP="007E59DA">
      <w:pPr>
        <w:pStyle w:val="TableNote"/>
        <w:spacing w:after="0"/>
        <w:ind w:left="720"/>
        <w:jc w:val="both"/>
        <w:rPr>
          <w:rFonts w:cs="Arial"/>
          <w:i/>
          <w:color w:val="auto"/>
          <w:sz w:val="21"/>
          <w:szCs w:val="21"/>
          <w:lang w:val="en-GB"/>
        </w:rPr>
      </w:pPr>
      <w:r w:rsidRPr="007E59DA">
        <w:rPr>
          <w:rFonts w:cs="Arial"/>
          <w:i/>
          <w:color w:val="auto"/>
          <w:sz w:val="21"/>
          <w:szCs w:val="21"/>
          <w:lang w:val="en-GB"/>
        </w:rPr>
        <w:t>Note: Asterisks compare lower- and higher-exposure groups within a period; plus signs compare all years with shock years within a group. Inference is clustered by country.</w:t>
      </w:r>
    </w:p>
    <w:p w14:paraId="1F56A26E" w14:textId="77777777" w:rsidR="00DC3188" w:rsidRDefault="00DC3188" w:rsidP="00F50C96">
      <w:pPr>
        <w:spacing w:after="0" w:line="360" w:lineRule="auto"/>
        <w:ind w:left="720"/>
        <w:jc w:val="both"/>
        <w:rPr>
          <w:rFonts w:cs="Arial"/>
          <w:szCs w:val="21"/>
        </w:rPr>
      </w:pPr>
    </w:p>
    <w:p w14:paraId="2A6A853B" w14:textId="77777777" w:rsidR="007E59DA" w:rsidRPr="000121EC" w:rsidRDefault="007E59DA" w:rsidP="00F50C96">
      <w:pPr>
        <w:spacing w:after="0" w:line="360" w:lineRule="auto"/>
        <w:ind w:left="720"/>
        <w:jc w:val="both"/>
        <w:rPr>
          <w:rFonts w:cs="Arial"/>
          <w:szCs w:val="21"/>
        </w:rPr>
      </w:pPr>
    </w:p>
    <w:p w14:paraId="55E9A733" w14:textId="1E50DDB8" w:rsidR="008942F8" w:rsidRPr="000121EC" w:rsidRDefault="002F7A2B" w:rsidP="00F50C96">
      <w:pPr>
        <w:spacing w:after="0" w:line="360" w:lineRule="auto"/>
        <w:ind w:left="720"/>
        <w:jc w:val="both"/>
        <w:rPr>
          <w:rFonts w:cs="Arial"/>
          <w:szCs w:val="21"/>
        </w:rPr>
      </w:pPr>
      <w:r w:rsidRPr="000121EC">
        <w:rPr>
          <w:rFonts w:cs="Arial"/>
          <w:szCs w:val="21"/>
        </w:rPr>
        <w:t xml:space="preserve">The semiconductor-correlation measure does not show the same cross-group result. The surprise share rises in shock years for both groups, but lower and higher semiconductor-market correlation are not significantly different from one another in either period. The contrast between exports and market correlation is informative: direct trade exposure to the product cycle appears more closely related to macroeconomic outperformance than </w:t>
      </w:r>
      <w:proofErr w:type="spellStart"/>
      <w:r w:rsidRPr="000121EC">
        <w:rPr>
          <w:rFonts w:cs="Arial"/>
          <w:szCs w:val="21"/>
        </w:rPr>
        <w:t>comovement</w:t>
      </w:r>
      <w:proofErr w:type="spellEnd"/>
      <w:r w:rsidRPr="000121EC">
        <w:rPr>
          <w:rFonts w:cs="Arial"/>
          <w:szCs w:val="21"/>
        </w:rPr>
        <w:t xml:space="preserve"> of broad national equity indices with semiconductor equities.</w:t>
      </w:r>
    </w:p>
    <w:p w14:paraId="66024A80" w14:textId="77777777" w:rsidR="006C400E" w:rsidRPr="000121EC" w:rsidRDefault="006C400E" w:rsidP="00F50C96">
      <w:pPr>
        <w:spacing w:after="0" w:line="360" w:lineRule="auto"/>
        <w:ind w:left="720"/>
        <w:jc w:val="both"/>
        <w:rPr>
          <w:rFonts w:cs="Arial"/>
          <w:szCs w:val="21"/>
        </w:rPr>
      </w:pPr>
    </w:p>
    <w:p w14:paraId="7FC02697" w14:textId="77777777" w:rsidR="008942F8" w:rsidRPr="000121EC" w:rsidRDefault="002F7A2B" w:rsidP="00F50C96">
      <w:pPr>
        <w:pStyle w:val="Heading2"/>
        <w:spacing w:before="0" w:after="0" w:line="360" w:lineRule="auto"/>
        <w:ind w:left="720"/>
        <w:jc w:val="both"/>
        <w:rPr>
          <w:rFonts w:ascii="Arial" w:hAnsi="Arial" w:cs="Arial"/>
          <w:color w:val="auto"/>
          <w:sz w:val="21"/>
          <w:szCs w:val="21"/>
        </w:rPr>
      </w:pPr>
      <w:r w:rsidRPr="000121EC">
        <w:rPr>
          <w:rFonts w:ascii="Arial" w:hAnsi="Arial" w:cs="Arial"/>
          <w:color w:val="auto"/>
          <w:sz w:val="21"/>
          <w:szCs w:val="21"/>
        </w:rPr>
        <w:lastRenderedPageBreak/>
        <w:t>4.3 Panel regression evidence</w:t>
      </w:r>
    </w:p>
    <w:p w14:paraId="7B8DE49B" w14:textId="317DCC09" w:rsidR="0059511B" w:rsidRPr="000121EC" w:rsidRDefault="0059511B" w:rsidP="00F50C96">
      <w:pPr>
        <w:pStyle w:val="Caption"/>
        <w:spacing w:before="0" w:after="0" w:line="360" w:lineRule="auto"/>
        <w:ind w:left="720"/>
        <w:jc w:val="both"/>
        <w:rPr>
          <w:rFonts w:cs="Arial"/>
          <w:b w:val="0"/>
          <w:bCs w:val="0"/>
          <w:color w:val="auto"/>
          <w:sz w:val="21"/>
          <w:szCs w:val="21"/>
        </w:rPr>
      </w:pPr>
      <w:r w:rsidRPr="000121EC">
        <w:rPr>
          <w:rFonts w:cs="Arial"/>
          <w:b w:val="0"/>
          <w:bCs w:val="0"/>
          <w:color w:val="auto"/>
          <w:sz w:val="21"/>
          <w:szCs w:val="21"/>
        </w:rPr>
        <w:t>The</w:t>
      </w:r>
      <w:r w:rsidR="00334A4B" w:rsidRPr="000121EC">
        <w:rPr>
          <w:rFonts w:cs="Arial"/>
          <w:b w:val="0"/>
          <w:bCs w:val="0"/>
          <w:color w:val="auto"/>
          <w:sz w:val="21"/>
          <w:szCs w:val="21"/>
        </w:rPr>
        <w:t xml:space="preserve"> results of the panel regression are summarized in Table 1.</w:t>
      </w:r>
    </w:p>
    <w:p w14:paraId="36C9F2F6" w14:textId="77777777" w:rsidR="0059511B" w:rsidRPr="000121EC" w:rsidRDefault="0059511B" w:rsidP="00F50C96">
      <w:pPr>
        <w:pStyle w:val="Caption"/>
        <w:spacing w:before="0" w:after="0" w:line="360" w:lineRule="auto"/>
        <w:ind w:left="720"/>
        <w:jc w:val="both"/>
        <w:rPr>
          <w:rFonts w:cs="Arial"/>
          <w:b w:val="0"/>
          <w:bCs w:val="0"/>
          <w:color w:val="auto"/>
          <w:sz w:val="21"/>
          <w:szCs w:val="21"/>
        </w:rPr>
      </w:pPr>
    </w:p>
    <w:p w14:paraId="0995719C" w14:textId="6C434815" w:rsidR="008942F8" w:rsidRPr="000121EC" w:rsidRDefault="002F7A2B" w:rsidP="00F50C96">
      <w:pPr>
        <w:pStyle w:val="Caption"/>
        <w:spacing w:before="0" w:after="0" w:line="360" w:lineRule="auto"/>
        <w:ind w:left="720"/>
        <w:jc w:val="both"/>
        <w:rPr>
          <w:rFonts w:cs="Arial"/>
          <w:color w:val="auto"/>
          <w:sz w:val="21"/>
          <w:szCs w:val="21"/>
        </w:rPr>
      </w:pPr>
      <w:r w:rsidRPr="000121EC">
        <w:rPr>
          <w:rFonts w:cs="Arial"/>
          <w:color w:val="auto"/>
          <w:sz w:val="21"/>
          <w:szCs w:val="21"/>
        </w:rPr>
        <w:t xml:space="preserve">Table 1. </w:t>
      </w:r>
      <w:r w:rsidR="009A0A28" w:rsidRPr="000121EC">
        <w:rPr>
          <w:rFonts w:cs="Arial"/>
          <w:color w:val="auto"/>
          <w:sz w:val="21"/>
          <w:szCs w:val="21"/>
        </w:rPr>
        <w:t xml:space="preserve">Results panel regression </w:t>
      </w:r>
      <w:r w:rsidRPr="000121EC">
        <w:rPr>
          <w:rFonts w:cs="Arial"/>
          <w:color w:val="auto"/>
          <w:sz w:val="21"/>
          <w:szCs w:val="21"/>
        </w:rPr>
        <w:t>models</w:t>
      </w:r>
    </w:p>
    <w:tbl>
      <w:tblPr>
        <w:tblW w:w="0" w:type="auto"/>
        <w:jc w:val="center"/>
        <w:tblBorders>
          <w:top w:val="single" w:sz="4" w:space="0" w:color="000000"/>
          <w:left w:val="nil"/>
          <w:bottom w:val="single" w:sz="4" w:space="0" w:color="000000"/>
          <w:right w:val="nil"/>
          <w:insideH w:val="single" w:sz="4" w:space="0" w:color="000000"/>
          <w:insideV w:val="nil"/>
        </w:tblBorders>
        <w:tblLayout w:type="fixed"/>
        <w:tblLook w:val="04A0" w:firstRow="1" w:lastRow="0" w:firstColumn="1" w:lastColumn="0" w:noHBand="0" w:noVBand="1"/>
      </w:tblPr>
      <w:tblGrid>
        <w:gridCol w:w="2880"/>
        <w:gridCol w:w="1123"/>
        <w:gridCol w:w="1123"/>
        <w:gridCol w:w="1123"/>
        <w:gridCol w:w="1123"/>
        <w:gridCol w:w="1123"/>
        <w:gridCol w:w="1123"/>
      </w:tblGrid>
      <w:tr w:rsidR="009471EF" w:rsidRPr="000121EC" w14:paraId="545F45AB" w14:textId="77777777">
        <w:trPr>
          <w:cantSplit/>
          <w:tblHeader/>
          <w:jc w:val="center"/>
        </w:trPr>
        <w:tc>
          <w:tcPr>
            <w:tcW w:w="2880" w:type="dxa"/>
            <w:tcMar>
              <w:top w:w="70" w:type="dxa"/>
              <w:left w:w="85" w:type="dxa"/>
              <w:bottom w:w="70" w:type="dxa"/>
              <w:right w:w="85" w:type="dxa"/>
            </w:tcMar>
            <w:vAlign w:val="center"/>
          </w:tcPr>
          <w:p w14:paraId="1C3C608A" w14:textId="77777777" w:rsidR="009471EF" w:rsidRPr="000121EC" w:rsidRDefault="000723C2" w:rsidP="00F50C96">
            <w:pPr>
              <w:spacing w:after="0" w:line="240" w:lineRule="auto"/>
              <w:jc w:val="both"/>
              <w:rPr>
                <w:rFonts w:cs="Arial"/>
                <w:szCs w:val="21"/>
              </w:rPr>
            </w:pPr>
            <w:r w:rsidRPr="000121EC">
              <w:rPr>
                <w:rFonts w:cs="Arial"/>
                <w:b/>
                <w:szCs w:val="21"/>
              </w:rPr>
              <w:t>Exposure variable</w:t>
            </w:r>
          </w:p>
        </w:tc>
        <w:tc>
          <w:tcPr>
            <w:tcW w:w="3369" w:type="dxa"/>
            <w:gridSpan w:val="3"/>
            <w:tcMar>
              <w:top w:w="70" w:type="dxa"/>
              <w:left w:w="85" w:type="dxa"/>
              <w:bottom w:w="70" w:type="dxa"/>
              <w:right w:w="85" w:type="dxa"/>
            </w:tcMar>
            <w:vAlign w:val="center"/>
          </w:tcPr>
          <w:p w14:paraId="535040B5" w14:textId="77777777" w:rsidR="009471EF" w:rsidRPr="000121EC" w:rsidRDefault="000723C2" w:rsidP="00F50C96">
            <w:pPr>
              <w:spacing w:after="0" w:line="240" w:lineRule="auto"/>
              <w:jc w:val="both"/>
              <w:rPr>
                <w:rFonts w:cs="Arial"/>
                <w:szCs w:val="21"/>
              </w:rPr>
            </w:pPr>
            <w:r w:rsidRPr="000121EC">
              <w:rPr>
                <w:rFonts w:cs="Arial"/>
                <w:b/>
                <w:szCs w:val="21"/>
              </w:rPr>
              <w:t>Linear probability model</w:t>
            </w:r>
          </w:p>
        </w:tc>
        <w:tc>
          <w:tcPr>
            <w:tcW w:w="3369" w:type="dxa"/>
            <w:gridSpan w:val="3"/>
            <w:tcMar>
              <w:top w:w="70" w:type="dxa"/>
              <w:left w:w="85" w:type="dxa"/>
              <w:bottom w:w="70" w:type="dxa"/>
              <w:right w:w="85" w:type="dxa"/>
            </w:tcMar>
            <w:vAlign w:val="center"/>
          </w:tcPr>
          <w:p w14:paraId="48CF50E5" w14:textId="77777777" w:rsidR="009471EF" w:rsidRPr="000121EC" w:rsidRDefault="000723C2" w:rsidP="00F50C96">
            <w:pPr>
              <w:spacing w:after="0" w:line="240" w:lineRule="auto"/>
              <w:jc w:val="both"/>
              <w:rPr>
                <w:rFonts w:cs="Arial"/>
                <w:szCs w:val="21"/>
              </w:rPr>
            </w:pPr>
            <w:r w:rsidRPr="000121EC">
              <w:rPr>
                <w:rFonts w:cs="Arial"/>
                <w:b/>
                <w:szCs w:val="21"/>
              </w:rPr>
              <w:t>CRE probit average marginal effects</w:t>
            </w:r>
          </w:p>
        </w:tc>
      </w:tr>
      <w:tr w:rsidR="009471EF" w:rsidRPr="000121EC" w14:paraId="590D1BBF" w14:textId="77777777">
        <w:trPr>
          <w:cantSplit/>
          <w:tblHeader/>
          <w:jc w:val="center"/>
        </w:trPr>
        <w:tc>
          <w:tcPr>
            <w:tcW w:w="2880" w:type="dxa"/>
            <w:tcMar>
              <w:top w:w="70" w:type="dxa"/>
              <w:left w:w="85" w:type="dxa"/>
              <w:bottom w:w="70" w:type="dxa"/>
              <w:right w:w="85" w:type="dxa"/>
            </w:tcMar>
            <w:vAlign w:val="center"/>
          </w:tcPr>
          <w:p w14:paraId="6600A136" w14:textId="77777777" w:rsidR="009471EF" w:rsidRPr="000121EC" w:rsidRDefault="009471EF" w:rsidP="00F50C96">
            <w:pPr>
              <w:spacing w:after="0" w:line="240" w:lineRule="auto"/>
              <w:jc w:val="both"/>
              <w:rPr>
                <w:rFonts w:cs="Arial"/>
                <w:szCs w:val="21"/>
              </w:rPr>
            </w:pPr>
          </w:p>
        </w:tc>
        <w:tc>
          <w:tcPr>
            <w:tcW w:w="1123" w:type="dxa"/>
            <w:tcMar>
              <w:top w:w="70" w:type="dxa"/>
              <w:left w:w="85" w:type="dxa"/>
              <w:bottom w:w="70" w:type="dxa"/>
              <w:right w:w="85" w:type="dxa"/>
            </w:tcMar>
            <w:vAlign w:val="center"/>
          </w:tcPr>
          <w:p w14:paraId="41358AA1" w14:textId="77777777" w:rsidR="009471EF" w:rsidRPr="000121EC" w:rsidRDefault="000723C2" w:rsidP="00F50C96">
            <w:pPr>
              <w:spacing w:after="0" w:line="240" w:lineRule="auto"/>
              <w:jc w:val="both"/>
              <w:rPr>
                <w:rFonts w:cs="Arial"/>
                <w:szCs w:val="21"/>
              </w:rPr>
            </w:pPr>
            <w:r w:rsidRPr="000121EC">
              <w:rPr>
                <w:rFonts w:cs="Arial"/>
                <w:b/>
                <w:szCs w:val="21"/>
              </w:rPr>
              <w:t>(1)</w:t>
            </w:r>
          </w:p>
        </w:tc>
        <w:tc>
          <w:tcPr>
            <w:tcW w:w="1123" w:type="dxa"/>
            <w:tcMar>
              <w:top w:w="70" w:type="dxa"/>
              <w:left w:w="85" w:type="dxa"/>
              <w:bottom w:w="70" w:type="dxa"/>
              <w:right w:w="85" w:type="dxa"/>
            </w:tcMar>
            <w:vAlign w:val="center"/>
          </w:tcPr>
          <w:p w14:paraId="3E141F8D" w14:textId="77777777" w:rsidR="009471EF" w:rsidRPr="000121EC" w:rsidRDefault="000723C2" w:rsidP="00F50C96">
            <w:pPr>
              <w:spacing w:after="0" w:line="240" w:lineRule="auto"/>
              <w:jc w:val="both"/>
              <w:rPr>
                <w:rFonts w:cs="Arial"/>
                <w:szCs w:val="21"/>
              </w:rPr>
            </w:pPr>
            <w:r w:rsidRPr="000121EC">
              <w:rPr>
                <w:rFonts w:cs="Arial"/>
                <w:b/>
                <w:szCs w:val="21"/>
              </w:rPr>
              <w:t>(2)</w:t>
            </w:r>
          </w:p>
        </w:tc>
        <w:tc>
          <w:tcPr>
            <w:tcW w:w="1123" w:type="dxa"/>
            <w:tcMar>
              <w:top w:w="70" w:type="dxa"/>
              <w:left w:w="85" w:type="dxa"/>
              <w:bottom w:w="70" w:type="dxa"/>
              <w:right w:w="85" w:type="dxa"/>
            </w:tcMar>
            <w:vAlign w:val="center"/>
          </w:tcPr>
          <w:p w14:paraId="250B2EA1" w14:textId="77777777" w:rsidR="009471EF" w:rsidRPr="000121EC" w:rsidRDefault="000723C2" w:rsidP="00F50C96">
            <w:pPr>
              <w:spacing w:after="0" w:line="240" w:lineRule="auto"/>
              <w:jc w:val="both"/>
              <w:rPr>
                <w:rFonts w:cs="Arial"/>
                <w:szCs w:val="21"/>
              </w:rPr>
            </w:pPr>
            <w:r w:rsidRPr="000121EC">
              <w:rPr>
                <w:rFonts w:cs="Arial"/>
                <w:b/>
                <w:szCs w:val="21"/>
              </w:rPr>
              <w:t>(3)</w:t>
            </w:r>
          </w:p>
        </w:tc>
        <w:tc>
          <w:tcPr>
            <w:tcW w:w="1123" w:type="dxa"/>
            <w:tcMar>
              <w:top w:w="70" w:type="dxa"/>
              <w:left w:w="85" w:type="dxa"/>
              <w:bottom w:w="70" w:type="dxa"/>
              <w:right w:w="85" w:type="dxa"/>
            </w:tcMar>
            <w:vAlign w:val="center"/>
          </w:tcPr>
          <w:p w14:paraId="39089820" w14:textId="77777777" w:rsidR="009471EF" w:rsidRPr="000121EC" w:rsidRDefault="000723C2" w:rsidP="00F50C96">
            <w:pPr>
              <w:spacing w:after="0" w:line="240" w:lineRule="auto"/>
              <w:jc w:val="both"/>
              <w:rPr>
                <w:rFonts w:cs="Arial"/>
                <w:szCs w:val="21"/>
              </w:rPr>
            </w:pPr>
            <w:r w:rsidRPr="000121EC">
              <w:rPr>
                <w:rFonts w:cs="Arial"/>
                <w:b/>
                <w:szCs w:val="21"/>
              </w:rPr>
              <w:t>(4)</w:t>
            </w:r>
          </w:p>
        </w:tc>
        <w:tc>
          <w:tcPr>
            <w:tcW w:w="1123" w:type="dxa"/>
            <w:tcMar>
              <w:top w:w="70" w:type="dxa"/>
              <w:left w:w="85" w:type="dxa"/>
              <w:bottom w:w="70" w:type="dxa"/>
              <w:right w:w="85" w:type="dxa"/>
            </w:tcMar>
            <w:vAlign w:val="center"/>
          </w:tcPr>
          <w:p w14:paraId="19C0E1F6" w14:textId="77777777" w:rsidR="009471EF" w:rsidRPr="000121EC" w:rsidRDefault="000723C2" w:rsidP="00F50C96">
            <w:pPr>
              <w:spacing w:after="0" w:line="240" w:lineRule="auto"/>
              <w:jc w:val="both"/>
              <w:rPr>
                <w:rFonts w:cs="Arial"/>
                <w:szCs w:val="21"/>
              </w:rPr>
            </w:pPr>
            <w:r w:rsidRPr="000121EC">
              <w:rPr>
                <w:rFonts w:cs="Arial"/>
                <w:b/>
                <w:szCs w:val="21"/>
              </w:rPr>
              <w:t>(5)</w:t>
            </w:r>
          </w:p>
        </w:tc>
        <w:tc>
          <w:tcPr>
            <w:tcW w:w="1123" w:type="dxa"/>
            <w:tcMar>
              <w:top w:w="70" w:type="dxa"/>
              <w:left w:w="85" w:type="dxa"/>
              <w:bottom w:w="70" w:type="dxa"/>
              <w:right w:w="85" w:type="dxa"/>
            </w:tcMar>
            <w:vAlign w:val="center"/>
          </w:tcPr>
          <w:p w14:paraId="17A96825" w14:textId="77777777" w:rsidR="009471EF" w:rsidRPr="000121EC" w:rsidRDefault="000723C2" w:rsidP="00F50C96">
            <w:pPr>
              <w:spacing w:after="0" w:line="240" w:lineRule="auto"/>
              <w:jc w:val="both"/>
              <w:rPr>
                <w:rFonts w:cs="Arial"/>
                <w:szCs w:val="21"/>
              </w:rPr>
            </w:pPr>
            <w:r w:rsidRPr="000121EC">
              <w:rPr>
                <w:rFonts w:cs="Arial"/>
                <w:b/>
                <w:szCs w:val="21"/>
              </w:rPr>
              <w:t>(6)</w:t>
            </w:r>
          </w:p>
        </w:tc>
      </w:tr>
      <w:tr w:rsidR="009471EF" w:rsidRPr="000121EC" w14:paraId="3EA6F22A" w14:textId="77777777">
        <w:trPr>
          <w:cantSplit/>
          <w:tblHeader/>
          <w:jc w:val="center"/>
        </w:trPr>
        <w:tc>
          <w:tcPr>
            <w:tcW w:w="2880" w:type="dxa"/>
            <w:tcMar>
              <w:top w:w="70" w:type="dxa"/>
              <w:left w:w="85" w:type="dxa"/>
              <w:bottom w:w="70" w:type="dxa"/>
              <w:right w:w="85" w:type="dxa"/>
            </w:tcMar>
            <w:vAlign w:val="center"/>
          </w:tcPr>
          <w:p w14:paraId="66EE5317" w14:textId="77777777" w:rsidR="009471EF" w:rsidRPr="000121EC" w:rsidRDefault="009471EF" w:rsidP="00F50C96">
            <w:pPr>
              <w:spacing w:after="0" w:line="240" w:lineRule="auto"/>
              <w:jc w:val="both"/>
              <w:rPr>
                <w:rFonts w:cs="Arial"/>
                <w:szCs w:val="21"/>
              </w:rPr>
            </w:pPr>
          </w:p>
        </w:tc>
        <w:tc>
          <w:tcPr>
            <w:tcW w:w="1123" w:type="dxa"/>
            <w:tcMar>
              <w:top w:w="70" w:type="dxa"/>
              <w:left w:w="85" w:type="dxa"/>
              <w:bottom w:w="70" w:type="dxa"/>
              <w:right w:w="85" w:type="dxa"/>
            </w:tcMar>
            <w:vAlign w:val="center"/>
          </w:tcPr>
          <w:p w14:paraId="5FF677FD" w14:textId="77777777" w:rsidR="009471EF" w:rsidRPr="000121EC" w:rsidRDefault="000723C2" w:rsidP="00F50C96">
            <w:pPr>
              <w:spacing w:after="0" w:line="240" w:lineRule="auto"/>
              <w:jc w:val="both"/>
              <w:rPr>
                <w:rFonts w:cs="Arial"/>
                <w:szCs w:val="21"/>
              </w:rPr>
            </w:pPr>
            <w:r w:rsidRPr="000121EC">
              <w:rPr>
                <w:rFonts w:cs="Arial"/>
                <w:i/>
                <w:szCs w:val="21"/>
              </w:rPr>
              <w:t>beta</w:t>
            </w:r>
          </w:p>
        </w:tc>
        <w:tc>
          <w:tcPr>
            <w:tcW w:w="1123" w:type="dxa"/>
            <w:tcMar>
              <w:top w:w="70" w:type="dxa"/>
              <w:left w:w="85" w:type="dxa"/>
              <w:bottom w:w="70" w:type="dxa"/>
              <w:right w:w="85" w:type="dxa"/>
            </w:tcMar>
            <w:vAlign w:val="center"/>
          </w:tcPr>
          <w:p w14:paraId="0D660E90" w14:textId="77777777" w:rsidR="009471EF" w:rsidRPr="000121EC" w:rsidRDefault="000723C2" w:rsidP="00F50C96">
            <w:pPr>
              <w:spacing w:after="0" w:line="240" w:lineRule="auto"/>
              <w:jc w:val="both"/>
              <w:rPr>
                <w:rFonts w:cs="Arial"/>
                <w:szCs w:val="21"/>
              </w:rPr>
            </w:pPr>
            <w:r w:rsidRPr="000121EC">
              <w:rPr>
                <w:rFonts w:cs="Arial"/>
                <w:i/>
                <w:szCs w:val="21"/>
              </w:rPr>
              <w:t>gamma</w:t>
            </w:r>
          </w:p>
        </w:tc>
        <w:tc>
          <w:tcPr>
            <w:tcW w:w="1123" w:type="dxa"/>
            <w:tcMar>
              <w:top w:w="70" w:type="dxa"/>
              <w:left w:w="85" w:type="dxa"/>
              <w:bottom w:w="70" w:type="dxa"/>
              <w:right w:w="85" w:type="dxa"/>
            </w:tcMar>
            <w:vAlign w:val="center"/>
          </w:tcPr>
          <w:p w14:paraId="1F496223" w14:textId="77777777" w:rsidR="009471EF" w:rsidRPr="000121EC" w:rsidRDefault="000723C2" w:rsidP="00F50C96">
            <w:pPr>
              <w:spacing w:after="0" w:line="240" w:lineRule="auto"/>
              <w:jc w:val="both"/>
              <w:rPr>
                <w:rFonts w:cs="Arial"/>
                <w:szCs w:val="21"/>
              </w:rPr>
            </w:pPr>
            <w:r w:rsidRPr="000121EC">
              <w:rPr>
                <w:rFonts w:cs="Arial"/>
                <w:i/>
                <w:szCs w:val="21"/>
              </w:rPr>
              <w:t>gamma</w:t>
            </w:r>
          </w:p>
        </w:tc>
        <w:tc>
          <w:tcPr>
            <w:tcW w:w="1123" w:type="dxa"/>
            <w:tcMar>
              <w:top w:w="70" w:type="dxa"/>
              <w:left w:w="85" w:type="dxa"/>
              <w:bottom w:w="70" w:type="dxa"/>
              <w:right w:w="85" w:type="dxa"/>
            </w:tcMar>
            <w:vAlign w:val="center"/>
          </w:tcPr>
          <w:p w14:paraId="5D46988D" w14:textId="77777777" w:rsidR="009471EF" w:rsidRPr="000121EC" w:rsidRDefault="000723C2" w:rsidP="00F50C96">
            <w:pPr>
              <w:spacing w:after="0" w:line="240" w:lineRule="auto"/>
              <w:jc w:val="both"/>
              <w:rPr>
                <w:rFonts w:cs="Arial"/>
                <w:szCs w:val="21"/>
              </w:rPr>
            </w:pPr>
            <w:r w:rsidRPr="000121EC">
              <w:rPr>
                <w:rFonts w:cs="Arial"/>
                <w:i/>
                <w:szCs w:val="21"/>
              </w:rPr>
              <w:t>beta-W</w:t>
            </w:r>
          </w:p>
        </w:tc>
        <w:tc>
          <w:tcPr>
            <w:tcW w:w="1123" w:type="dxa"/>
            <w:tcMar>
              <w:top w:w="70" w:type="dxa"/>
              <w:left w:w="85" w:type="dxa"/>
              <w:bottom w:w="70" w:type="dxa"/>
              <w:right w:w="85" w:type="dxa"/>
            </w:tcMar>
            <w:vAlign w:val="center"/>
          </w:tcPr>
          <w:p w14:paraId="78575021" w14:textId="77777777" w:rsidR="009471EF" w:rsidRPr="000121EC" w:rsidRDefault="000723C2" w:rsidP="00F50C96">
            <w:pPr>
              <w:spacing w:after="0" w:line="240" w:lineRule="auto"/>
              <w:jc w:val="both"/>
              <w:rPr>
                <w:rFonts w:cs="Arial"/>
                <w:szCs w:val="21"/>
              </w:rPr>
            </w:pPr>
            <w:r w:rsidRPr="000121EC">
              <w:rPr>
                <w:rFonts w:cs="Arial"/>
                <w:i/>
                <w:szCs w:val="21"/>
              </w:rPr>
              <w:t>gamma-W</w:t>
            </w:r>
          </w:p>
        </w:tc>
        <w:tc>
          <w:tcPr>
            <w:tcW w:w="1123" w:type="dxa"/>
            <w:tcMar>
              <w:top w:w="70" w:type="dxa"/>
              <w:left w:w="85" w:type="dxa"/>
              <w:bottom w:w="70" w:type="dxa"/>
              <w:right w:w="85" w:type="dxa"/>
            </w:tcMar>
            <w:vAlign w:val="center"/>
          </w:tcPr>
          <w:p w14:paraId="48AA0C4E" w14:textId="77777777" w:rsidR="009471EF" w:rsidRPr="000121EC" w:rsidRDefault="000723C2" w:rsidP="00F50C96">
            <w:pPr>
              <w:spacing w:after="0" w:line="240" w:lineRule="auto"/>
              <w:jc w:val="both"/>
              <w:rPr>
                <w:rFonts w:cs="Arial"/>
                <w:szCs w:val="21"/>
              </w:rPr>
            </w:pPr>
            <w:r w:rsidRPr="000121EC">
              <w:rPr>
                <w:rFonts w:cs="Arial"/>
                <w:i/>
                <w:szCs w:val="21"/>
              </w:rPr>
              <w:t>gamma-W</w:t>
            </w:r>
          </w:p>
        </w:tc>
      </w:tr>
      <w:tr w:rsidR="009471EF" w:rsidRPr="000121EC" w14:paraId="59EC1E60" w14:textId="77777777">
        <w:trPr>
          <w:cantSplit/>
          <w:jc w:val="center"/>
        </w:trPr>
        <w:tc>
          <w:tcPr>
            <w:tcW w:w="2880" w:type="dxa"/>
            <w:tcMar>
              <w:top w:w="70" w:type="dxa"/>
              <w:left w:w="85" w:type="dxa"/>
              <w:bottom w:w="70" w:type="dxa"/>
              <w:right w:w="85" w:type="dxa"/>
            </w:tcMar>
            <w:vAlign w:val="center"/>
          </w:tcPr>
          <w:p w14:paraId="25A50954" w14:textId="77777777" w:rsidR="009471EF" w:rsidRPr="000121EC" w:rsidRDefault="000723C2" w:rsidP="00F50C96">
            <w:pPr>
              <w:spacing w:after="0" w:line="240" w:lineRule="auto"/>
              <w:jc w:val="both"/>
              <w:rPr>
                <w:rFonts w:cs="Arial"/>
                <w:szCs w:val="21"/>
              </w:rPr>
            </w:pPr>
            <w:r w:rsidRPr="000121EC">
              <w:rPr>
                <w:rFonts w:cs="Arial"/>
                <w:szCs w:val="21"/>
              </w:rPr>
              <w:t>ICT/AI-related investment</w:t>
            </w:r>
          </w:p>
        </w:tc>
        <w:tc>
          <w:tcPr>
            <w:tcW w:w="1123" w:type="dxa"/>
            <w:tcMar>
              <w:top w:w="70" w:type="dxa"/>
              <w:left w:w="85" w:type="dxa"/>
              <w:bottom w:w="70" w:type="dxa"/>
              <w:right w:w="85" w:type="dxa"/>
            </w:tcMar>
            <w:vAlign w:val="center"/>
          </w:tcPr>
          <w:p w14:paraId="4763ADB6" w14:textId="77777777" w:rsidR="009471EF" w:rsidRPr="000121EC" w:rsidRDefault="000723C2" w:rsidP="00F50C96">
            <w:pPr>
              <w:spacing w:after="0" w:line="240" w:lineRule="auto"/>
              <w:jc w:val="both"/>
              <w:rPr>
                <w:rFonts w:cs="Arial"/>
                <w:szCs w:val="21"/>
              </w:rPr>
            </w:pPr>
            <w:r w:rsidRPr="000121EC">
              <w:rPr>
                <w:rFonts w:cs="Arial"/>
                <w:szCs w:val="21"/>
              </w:rPr>
              <w:t>0.08*</w:t>
            </w:r>
          </w:p>
        </w:tc>
        <w:tc>
          <w:tcPr>
            <w:tcW w:w="1123" w:type="dxa"/>
            <w:tcMar>
              <w:top w:w="70" w:type="dxa"/>
              <w:left w:w="85" w:type="dxa"/>
              <w:bottom w:w="70" w:type="dxa"/>
              <w:right w:w="85" w:type="dxa"/>
            </w:tcMar>
            <w:vAlign w:val="center"/>
          </w:tcPr>
          <w:p w14:paraId="560C02EC" w14:textId="77777777" w:rsidR="009471EF" w:rsidRPr="000121EC" w:rsidRDefault="000723C2" w:rsidP="00F50C96">
            <w:pPr>
              <w:spacing w:after="0" w:line="240" w:lineRule="auto"/>
              <w:jc w:val="both"/>
              <w:rPr>
                <w:rFonts w:cs="Arial"/>
                <w:szCs w:val="21"/>
              </w:rPr>
            </w:pPr>
            <w:r w:rsidRPr="000121EC">
              <w:rPr>
                <w:rFonts w:cs="Arial"/>
                <w:szCs w:val="21"/>
              </w:rPr>
              <w:t>0.10</w:t>
            </w:r>
          </w:p>
        </w:tc>
        <w:tc>
          <w:tcPr>
            <w:tcW w:w="1123" w:type="dxa"/>
            <w:tcMar>
              <w:top w:w="70" w:type="dxa"/>
              <w:left w:w="85" w:type="dxa"/>
              <w:bottom w:w="70" w:type="dxa"/>
              <w:right w:w="85" w:type="dxa"/>
            </w:tcMar>
            <w:vAlign w:val="center"/>
          </w:tcPr>
          <w:p w14:paraId="25D8EF7A" w14:textId="77777777" w:rsidR="009471EF" w:rsidRPr="000121EC" w:rsidRDefault="000723C2" w:rsidP="00F50C96">
            <w:pPr>
              <w:spacing w:after="0" w:line="240" w:lineRule="auto"/>
              <w:jc w:val="both"/>
              <w:rPr>
                <w:rFonts w:cs="Arial"/>
                <w:szCs w:val="21"/>
              </w:rPr>
            </w:pPr>
            <w:r w:rsidRPr="000121EC">
              <w:rPr>
                <w:rFonts w:cs="Arial"/>
                <w:szCs w:val="21"/>
              </w:rPr>
              <w:t>0.08</w:t>
            </w:r>
          </w:p>
        </w:tc>
        <w:tc>
          <w:tcPr>
            <w:tcW w:w="1123" w:type="dxa"/>
            <w:tcMar>
              <w:top w:w="70" w:type="dxa"/>
              <w:left w:w="85" w:type="dxa"/>
              <w:bottom w:w="70" w:type="dxa"/>
              <w:right w:w="85" w:type="dxa"/>
            </w:tcMar>
            <w:vAlign w:val="center"/>
          </w:tcPr>
          <w:p w14:paraId="0E67E9B3" w14:textId="77777777" w:rsidR="009471EF" w:rsidRPr="000121EC" w:rsidRDefault="000723C2" w:rsidP="00F50C96">
            <w:pPr>
              <w:spacing w:after="0" w:line="240" w:lineRule="auto"/>
              <w:jc w:val="both"/>
              <w:rPr>
                <w:rFonts w:cs="Arial"/>
                <w:szCs w:val="21"/>
              </w:rPr>
            </w:pPr>
            <w:r w:rsidRPr="000121EC">
              <w:rPr>
                <w:rFonts w:cs="Arial"/>
                <w:szCs w:val="21"/>
              </w:rPr>
              <w:t>0.09*</w:t>
            </w:r>
          </w:p>
        </w:tc>
        <w:tc>
          <w:tcPr>
            <w:tcW w:w="1123" w:type="dxa"/>
            <w:tcMar>
              <w:top w:w="70" w:type="dxa"/>
              <w:left w:w="85" w:type="dxa"/>
              <w:bottom w:w="70" w:type="dxa"/>
              <w:right w:w="85" w:type="dxa"/>
            </w:tcMar>
            <w:vAlign w:val="center"/>
          </w:tcPr>
          <w:p w14:paraId="437D2B5A" w14:textId="77777777" w:rsidR="009471EF" w:rsidRPr="000121EC" w:rsidRDefault="000723C2" w:rsidP="00F50C96">
            <w:pPr>
              <w:spacing w:after="0" w:line="240" w:lineRule="auto"/>
              <w:jc w:val="both"/>
              <w:rPr>
                <w:rFonts w:cs="Arial"/>
                <w:szCs w:val="21"/>
              </w:rPr>
            </w:pPr>
            <w:r w:rsidRPr="000121EC">
              <w:rPr>
                <w:rFonts w:cs="Arial"/>
                <w:szCs w:val="21"/>
              </w:rPr>
              <w:t>0.09</w:t>
            </w:r>
          </w:p>
        </w:tc>
        <w:tc>
          <w:tcPr>
            <w:tcW w:w="1123" w:type="dxa"/>
            <w:tcMar>
              <w:top w:w="70" w:type="dxa"/>
              <w:left w:w="85" w:type="dxa"/>
              <w:bottom w:w="70" w:type="dxa"/>
              <w:right w:w="85" w:type="dxa"/>
            </w:tcMar>
            <w:vAlign w:val="center"/>
          </w:tcPr>
          <w:p w14:paraId="33F505CB" w14:textId="77777777" w:rsidR="009471EF" w:rsidRPr="000121EC" w:rsidRDefault="000723C2" w:rsidP="00F50C96">
            <w:pPr>
              <w:spacing w:after="0" w:line="240" w:lineRule="auto"/>
              <w:jc w:val="both"/>
              <w:rPr>
                <w:rFonts w:cs="Arial"/>
                <w:szCs w:val="21"/>
              </w:rPr>
            </w:pPr>
            <w:r w:rsidRPr="000121EC">
              <w:rPr>
                <w:rFonts w:cs="Arial"/>
                <w:szCs w:val="21"/>
              </w:rPr>
              <w:t>0.08</w:t>
            </w:r>
          </w:p>
        </w:tc>
      </w:tr>
      <w:tr w:rsidR="009471EF" w:rsidRPr="000121EC" w14:paraId="1876E3BD" w14:textId="77777777">
        <w:trPr>
          <w:cantSplit/>
          <w:jc w:val="center"/>
        </w:trPr>
        <w:tc>
          <w:tcPr>
            <w:tcW w:w="2880" w:type="dxa"/>
            <w:tcMar>
              <w:top w:w="70" w:type="dxa"/>
              <w:left w:w="85" w:type="dxa"/>
              <w:bottom w:w="70" w:type="dxa"/>
              <w:right w:w="85" w:type="dxa"/>
            </w:tcMar>
            <w:vAlign w:val="center"/>
          </w:tcPr>
          <w:p w14:paraId="52563CB7" w14:textId="77777777" w:rsidR="009471EF" w:rsidRPr="000121EC" w:rsidRDefault="000723C2" w:rsidP="00F50C96">
            <w:pPr>
              <w:spacing w:after="0" w:line="240" w:lineRule="auto"/>
              <w:jc w:val="both"/>
              <w:rPr>
                <w:rFonts w:cs="Arial"/>
                <w:szCs w:val="21"/>
              </w:rPr>
            </w:pPr>
            <w:r w:rsidRPr="000121EC">
              <w:rPr>
                <w:rFonts w:cs="Arial"/>
                <w:szCs w:val="21"/>
              </w:rPr>
              <w:t>Equity investments in AI</w:t>
            </w:r>
          </w:p>
        </w:tc>
        <w:tc>
          <w:tcPr>
            <w:tcW w:w="1123" w:type="dxa"/>
            <w:tcMar>
              <w:top w:w="70" w:type="dxa"/>
              <w:left w:w="85" w:type="dxa"/>
              <w:bottom w:w="70" w:type="dxa"/>
              <w:right w:w="85" w:type="dxa"/>
            </w:tcMar>
            <w:vAlign w:val="center"/>
          </w:tcPr>
          <w:p w14:paraId="51640B47" w14:textId="77777777" w:rsidR="009471EF" w:rsidRPr="000121EC" w:rsidRDefault="000723C2" w:rsidP="00F50C96">
            <w:pPr>
              <w:spacing w:after="0" w:line="240" w:lineRule="auto"/>
              <w:jc w:val="both"/>
              <w:rPr>
                <w:rFonts w:cs="Arial"/>
                <w:szCs w:val="21"/>
              </w:rPr>
            </w:pPr>
            <w:r w:rsidRPr="000121EC">
              <w:rPr>
                <w:rFonts w:cs="Arial"/>
                <w:szCs w:val="21"/>
              </w:rPr>
              <w:t>-0.10</w:t>
            </w:r>
          </w:p>
        </w:tc>
        <w:tc>
          <w:tcPr>
            <w:tcW w:w="1123" w:type="dxa"/>
            <w:tcMar>
              <w:top w:w="70" w:type="dxa"/>
              <w:left w:w="85" w:type="dxa"/>
              <w:bottom w:w="70" w:type="dxa"/>
              <w:right w:w="85" w:type="dxa"/>
            </w:tcMar>
            <w:vAlign w:val="center"/>
          </w:tcPr>
          <w:p w14:paraId="0611719F" w14:textId="77777777" w:rsidR="009471EF" w:rsidRPr="000121EC" w:rsidRDefault="000723C2" w:rsidP="00F50C96">
            <w:pPr>
              <w:spacing w:after="0" w:line="240" w:lineRule="auto"/>
              <w:jc w:val="both"/>
              <w:rPr>
                <w:rFonts w:cs="Arial"/>
                <w:szCs w:val="21"/>
              </w:rPr>
            </w:pPr>
            <w:r w:rsidRPr="000121EC">
              <w:rPr>
                <w:rFonts w:cs="Arial"/>
                <w:szCs w:val="21"/>
              </w:rPr>
              <w:t>-0.03</w:t>
            </w:r>
          </w:p>
        </w:tc>
        <w:tc>
          <w:tcPr>
            <w:tcW w:w="1123" w:type="dxa"/>
            <w:tcMar>
              <w:top w:w="70" w:type="dxa"/>
              <w:left w:w="85" w:type="dxa"/>
              <w:bottom w:w="70" w:type="dxa"/>
              <w:right w:w="85" w:type="dxa"/>
            </w:tcMar>
            <w:vAlign w:val="center"/>
          </w:tcPr>
          <w:p w14:paraId="66409788" w14:textId="77777777" w:rsidR="009471EF" w:rsidRPr="000121EC" w:rsidRDefault="000723C2" w:rsidP="00F50C96">
            <w:pPr>
              <w:spacing w:after="0" w:line="240" w:lineRule="auto"/>
              <w:jc w:val="both"/>
              <w:rPr>
                <w:rFonts w:cs="Arial"/>
                <w:szCs w:val="21"/>
              </w:rPr>
            </w:pPr>
            <w:r w:rsidRPr="000121EC">
              <w:rPr>
                <w:rFonts w:cs="Arial"/>
                <w:szCs w:val="21"/>
              </w:rPr>
              <w:t>-0.05</w:t>
            </w:r>
          </w:p>
        </w:tc>
        <w:tc>
          <w:tcPr>
            <w:tcW w:w="1123" w:type="dxa"/>
            <w:tcMar>
              <w:top w:w="70" w:type="dxa"/>
              <w:left w:w="85" w:type="dxa"/>
              <w:bottom w:w="70" w:type="dxa"/>
              <w:right w:w="85" w:type="dxa"/>
            </w:tcMar>
            <w:vAlign w:val="center"/>
          </w:tcPr>
          <w:p w14:paraId="57023424" w14:textId="77777777" w:rsidR="009471EF" w:rsidRPr="000121EC" w:rsidRDefault="000723C2" w:rsidP="00F50C96">
            <w:pPr>
              <w:spacing w:after="0" w:line="240" w:lineRule="auto"/>
              <w:jc w:val="both"/>
              <w:rPr>
                <w:rFonts w:cs="Arial"/>
                <w:szCs w:val="21"/>
              </w:rPr>
            </w:pPr>
            <w:r w:rsidRPr="000121EC">
              <w:rPr>
                <w:rFonts w:cs="Arial"/>
                <w:szCs w:val="21"/>
              </w:rPr>
              <w:t>-0.11</w:t>
            </w:r>
          </w:p>
        </w:tc>
        <w:tc>
          <w:tcPr>
            <w:tcW w:w="1123" w:type="dxa"/>
            <w:tcMar>
              <w:top w:w="70" w:type="dxa"/>
              <w:left w:w="85" w:type="dxa"/>
              <w:bottom w:w="70" w:type="dxa"/>
              <w:right w:w="85" w:type="dxa"/>
            </w:tcMar>
            <w:vAlign w:val="center"/>
          </w:tcPr>
          <w:p w14:paraId="0A972CF6" w14:textId="77777777" w:rsidR="009471EF" w:rsidRPr="000121EC" w:rsidRDefault="000723C2" w:rsidP="00F50C96">
            <w:pPr>
              <w:spacing w:after="0" w:line="240" w:lineRule="auto"/>
              <w:jc w:val="both"/>
              <w:rPr>
                <w:rFonts w:cs="Arial"/>
                <w:szCs w:val="21"/>
              </w:rPr>
            </w:pPr>
            <w:r w:rsidRPr="000121EC">
              <w:rPr>
                <w:rFonts w:cs="Arial"/>
                <w:szCs w:val="21"/>
              </w:rPr>
              <w:t>-0.06</w:t>
            </w:r>
          </w:p>
        </w:tc>
        <w:tc>
          <w:tcPr>
            <w:tcW w:w="1123" w:type="dxa"/>
            <w:tcMar>
              <w:top w:w="70" w:type="dxa"/>
              <w:left w:w="85" w:type="dxa"/>
              <w:bottom w:w="70" w:type="dxa"/>
              <w:right w:w="85" w:type="dxa"/>
            </w:tcMar>
            <w:vAlign w:val="center"/>
          </w:tcPr>
          <w:p w14:paraId="64A491B6" w14:textId="77777777" w:rsidR="009471EF" w:rsidRPr="000121EC" w:rsidRDefault="000723C2" w:rsidP="00F50C96">
            <w:pPr>
              <w:spacing w:after="0" w:line="240" w:lineRule="auto"/>
              <w:jc w:val="both"/>
              <w:rPr>
                <w:rFonts w:cs="Arial"/>
                <w:szCs w:val="21"/>
              </w:rPr>
            </w:pPr>
            <w:r w:rsidRPr="000121EC">
              <w:rPr>
                <w:rFonts w:cs="Arial"/>
                <w:szCs w:val="21"/>
              </w:rPr>
              <w:t>-0.08</w:t>
            </w:r>
          </w:p>
        </w:tc>
      </w:tr>
      <w:tr w:rsidR="009471EF" w:rsidRPr="000121EC" w14:paraId="6B7A9552" w14:textId="77777777">
        <w:trPr>
          <w:cantSplit/>
          <w:jc w:val="center"/>
        </w:trPr>
        <w:tc>
          <w:tcPr>
            <w:tcW w:w="2880" w:type="dxa"/>
            <w:tcMar>
              <w:top w:w="70" w:type="dxa"/>
              <w:left w:w="85" w:type="dxa"/>
              <w:bottom w:w="70" w:type="dxa"/>
              <w:right w:w="85" w:type="dxa"/>
            </w:tcMar>
            <w:vAlign w:val="center"/>
          </w:tcPr>
          <w:p w14:paraId="240B7D5D" w14:textId="77777777" w:rsidR="009471EF" w:rsidRPr="000121EC" w:rsidRDefault="000723C2" w:rsidP="00F50C96">
            <w:pPr>
              <w:spacing w:after="0" w:line="240" w:lineRule="auto"/>
              <w:jc w:val="both"/>
              <w:rPr>
                <w:rFonts w:cs="Arial"/>
                <w:szCs w:val="21"/>
              </w:rPr>
            </w:pPr>
            <w:r w:rsidRPr="000121EC">
              <w:rPr>
                <w:rFonts w:cs="Arial"/>
                <w:szCs w:val="21"/>
              </w:rPr>
              <w:t>ICT/AI-related exports</w:t>
            </w:r>
          </w:p>
        </w:tc>
        <w:tc>
          <w:tcPr>
            <w:tcW w:w="1123" w:type="dxa"/>
            <w:tcMar>
              <w:top w:w="70" w:type="dxa"/>
              <w:left w:w="85" w:type="dxa"/>
              <w:bottom w:w="70" w:type="dxa"/>
              <w:right w:w="85" w:type="dxa"/>
            </w:tcMar>
            <w:vAlign w:val="center"/>
          </w:tcPr>
          <w:p w14:paraId="67D518FF" w14:textId="77777777" w:rsidR="009471EF" w:rsidRPr="000121EC" w:rsidRDefault="000723C2" w:rsidP="00F50C96">
            <w:pPr>
              <w:spacing w:after="0" w:line="240" w:lineRule="auto"/>
              <w:jc w:val="both"/>
              <w:rPr>
                <w:rFonts w:cs="Arial"/>
                <w:szCs w:val="21"/>
              </w:rPr>
            </w:pPr>
            <w:r w:rsidRPr="000121EC">
              <w:rPr>
                <w:rFonts w:cs="Arial"/>
                <w:szCs w:val="21"/>
              </w:rPr>
              <w:t>0.07</w:t>
            </w:r>
          </w:p>
        </w:tc>
        <w:tc>
          <w:tcPr>
            <w:tcW w:w="1123" w:type="dxa"/>
            <w:tcMar>
              <w:top w:w="70" w:type="dxa"/>
              <w:left w:w="85" w:type="dxa"/>
              <w:bottom w:w="70" w:type="dxa"/>
              <w:right w:w="85" w:type="dxa"/>
            </w:tcMar>
            <w:vAlign w:val="center"/>
          </w:tcPr>
          <w:p w14:paraId="752CE206" w14:textId="77777777" w:rsidR="009471EF" w:rsidRPr="000121EC" w:rsidRDefault="000723C2" w:rsidP="00F50C96">
            <w:pPr>
              <w:spacing w:after="0" w:line="240" w:lineRule="auto"/>
              <w:jc w:val="both"/>
              <w:rPr>
                <w:rFonts w:cs="Arial"/>
                <w:szCs w:val="21"/>
              </w:rPr>
            </w:pPr>
            <w:r w:rsidRPr="000121EC">
              <w:rPr>
                <w:rFonts w:cs="Arial"/>
                <w:szCs w:val="21"/>
              </w:rPr>
              <w:t>0.07*</w:t>
            </w:r>
          </w:p>
        </w:tc>
        <w:tc>
          <w:tcPr>
            <w:tcW w:w="1123" w:type="dxa"/>
            <w:tcMar>
              <w:top w:w="70" w:type="dxa"/>
              <w:left w:w="85" w:type="dxa"/>
              <w:bottom w:w="70" w:type="dxa"/>
              <w:right w:w="85" w:type="dxa"/>
            </w:tcMar>
            <w:vAlign w:val="center"/>
          </w:tcPr>
          <w:p w14:paraId="55E7F5E4" w14:textId="77777777" w:rsidR="009471EF" w:rsidRPr="000121EC" w:rsidRDefault="000723C2" w:rsidP="00F50C96">
            <w:pPr>
              <w:spacing w:after="0" w:line="240" w:lineRule="auto"/>
              <w:jc w:val="both"/>
              <w:rPr>
                <w:rFonts w:cs="Arial"/>
                <w:szCs w:val="21"/>
              </w:rPr>
            </w:pPr>
            <w:r w:rsidRPr="000121EC">
              <w:rPr>
                <w:rFonts w:cs="Arial"/>
                <w:szCs w:val="21"/>
              </w:rPr>
              <w:t>0.06*</w:t>
            </w:r>
          </w:p>
        </w:tc>
        <w:tc>
          <w:tcPr>
            <w:tcW w:w="1123" w:type="dxa"/>
            <w:tcMar>
              <w:top w:w="70" w:type="dxa"/>
              <w:left w:w="85" w:type="dxa"/>
              <w:bottom w:w="70" w:type="dxa"/>
              <w:right w:w="85" w:type="dxa"/>
            </w:tcMar>
            <w:vAlign w:val="center"/>
          </w:tcPr>
          <w:p w14:paraId="3ED11374" w14:textId="77777777" w:rsidR="009471EF" w:rsidRPr="000121EC" w:rsidRDefault="000723C2" w:rsidP="00F50C96">
            <w:pPr>
              <w:spacing w:after="0" w:line="240" w:lineRule="auto"/>
              <w:jc w:val="both"/>
              <w:rPr>
                <w:rFonts w:cs="Arial"/>
                <w:szCs w:val="21"/>
              </w:rPr>
            </w:pPr>
            <w:r w:rsidRPr="000121EC">
              <w:rPr>
                <w:rFonts w:cs="Arial"/>
                <w:szCs w:val="21"/>
              </w:rPr>
              <w:t>0.06</w:t>
            </w:r>
          </w:p>
        </w:tc>
        <w:tc>
          <w:tcPr>
            <w:tcW w:w="1123" w:type="dxa"/>
            <w:tcMar>
              <w:top w:w="70" w:type="dxa"/>
              <w:left w:w="85" w:type="dxa"/>
              <w:bottom w:w="70" w:type="dxa"/>
              <w:right w:w="85" w:type="dxa"/>
            </w:tcMar>
            <w:vAlign w:val="center"/>
          </w:tcPr>
          <w:p w14:paraId="75E42AFE" w14:textId="77777777" w:rsidR="009471EF" w:rsidRPr="000121EC" w:rsidRDefault="000723C2" w:rsidP="00F50C96">
            <w:pPr>
              <w:spacing w:after="0" w:line="240" w:lineRule="auto"/>
              <w:jc w:val="both"/>
              <w:rPr>
                <w:rFonts w:cs="Arial"/>
                <w:szCs w:val="21"/>
              </w:rPr>
            </w:pPr>
            <w:r w:rsidRPr="000121EC">
              <w:rPr>
                <w:rFonts w:cs="Arial"/>
                <w:szCs w:val="21"/>
              </w:rPr>
              <w:t>0.08**</w:t>
            </w:r>
          </w:p>
        </w:tc>
        <w:tc>
          <w:tcPr>
            <w:tcW w:w="1123" w:type="dxa"/>
            <w:tcMar>
              <w:top w:w="70" w:type="dxa"/>
              <w:left w:w="85" w:type="dxa"/>
              <w:bottom w:w="70" w:type="dxa"/>
              <w:right w:w="85" w:type="dxa"/>
            </w:tcMar>
            <w:vAlign w:val="center"/>
          </w:tcPr>
          <w:p w14:paraId="4D525B04" w14:textId="77777777" w:rsidR="009471EF" w:rsidRPr="000121EC" w:rsidRDefault="000723C2" w:rsidP="00F50C96">
            <w:pPr>
              <w:spacing w:after="0" w:line="240" w:lineRule="auto"/>
              <w:jc w:val="both"/>
              <w:rPr>
                <w:rFonts w:cs="Arial"/>
                <w:szCs w:val="21"/>
              </w:rPr>
            </w:pPr>
            <w:r w:rsidRPr="000121EC">
              <w:rPr>
                <w:rFonts w:cs="Arial"/>
                <w:szCs w:val="21"/>
              </w:rPr>
              <w:t>0.07**</w:t>
            </w:r>
          </w:p>
        </w:tc>
      </w:tr>
      <w:tr w:rsidR="009471EF" w:rsidRPr="000121EC" w14:paraId="7144FE3D" w14:textId="77777777">
        <w:trPr>
          <w:cantSplit/>
          <w:jc w:val="center"/>
        </w:trPr>
        <w:tc>
          <w:tcPr>
            <w:tcW w:w="2880" w:type="dxa"/>
            <w:tcMar>
              <w:top w:w="70" w:type="dxa"/>
              <w:left w:w="85" w:type="dxa"/>
              <w:bottom w:w="70" w:type="dxa"/>
              <w:right w:w="85" w:type="dxa"/>
            </w:tcMar>
            <w:vAlign w:val="center"/>
          </w:tcPr>
          <w:p w14:paraId="58BF6811" w14:textId="77777777" w:rsidR="009471EF" w:rsidRPr="000121EC" w:rsidRDefault="000723C2" w:rsidP="00F50C96">
            <w:pPr>
              <w:spacing w:after="0" w:line="240" w:lineRule="auto"/>
              <w:jc w:val="both"/>
              <w:rPr>
                <w:rFonts w:cs="Arial"/>
                <w:szCs w:val="21"/>
              </w:rPr>
            </w:pPr>
            <w:r w:rsidRPr="000121EC">
              <w:rPr>
                <w:rFonts w:cs="Arial"/>
                <w:szCs w:val="21"/>
              </w:rPr>
              <w:t>Semiconductor-index correlation</w:t>
            </w:r>
          </w:p>
        </w:tc>
        <w:tc>
          <w:tcPr>
            <w:tcW w:w="1123" w:type="dxa"/>
            <w:tcMar>
              <w:top w:w="70" w:type="dxa"/>
              <w:left w:w="85" w:type="dxa"/>
              <w:bottom w:w="70" w:type="dxa"/>
              <w:right w:w="85" w:type="dxa"/>
            </w:tcMar>
            <w:vAlign w:val="center"/>
          </w:tcPr>
          <w:p w14:paraId="420848FD" w14:textId="77777777" w:rsidR="009471EF" w:rsidRPr="000121EC" w:rsidRDefault="000723C2" w:rsidP="00F50C96">
            <w:pPr>
              <w:spacing w:after="0" w:line="240" w:lineRule="auto"/>
              <w:jc w:val="both"/>
              <w:rPr>
                <w:rFonts w:cs="Arial"/>
                <w:szCs w:val="21"/>
              </w:rPr>
            </w:pPr>
            <w:r w:rsidRPr="000121EC">
              <w:rPr>
                <w:rFonts w:cs="Arial"/>
                <w:szCs w:val="21"/>
              </w:rPr>
              <w:t>-0.01</w:t>
            </w:r>
          </w:p>
        </w:tc>
        <w:tc>
          <w:tcPr>
            <w:tcW w:w="1123" w:type="dxa"/>
            <w:tcMar>
              <w:top w:w="70" w:type="dxa"/>
              <w:left w:w="85" w:type="dxa"/>
              <w:bottom w:w="70" w:type="dxa"/>
              <w:right w:w="85" w:type="dxa"/>
            </w:tcMar>
            <w:vAlign w:val="center"/>
          </w:tcPr>
          <w:p w14:paraId="52E4F291" w14:textId="77777777" w:rsidR="009471EF" w:rsidRPr="000121EC" w:rsidRDefault="000723C2" w:rsidP="00F50C96">
            <w:pPr>
              <w:spacing w:after="0" w:line="240" w:lineRule="auto"/>
              <w:jc w:val="both"/>
              <w:rPr>
                <w:rFonts w:cs="Arial"/>
                <w:szCs w:val="21"/>
              </w:rPr>
            </w:pPr>
            <w:r w:rsidRPr="000121EC">
              <w:rPr>
                <w:rFonts w:cs="Arial"/>
                <w:szCs w:val="21"/>
              </w:rPr>
              <w:t>-0.41</w:t>
            </w:r>
          </w:p>
        </w:tc>
        <w:tc>
          <w:tcPr>
            <w:tcW w:w="1123" w:type="dxa"/>
            <w:tcMar>
              <w:top w:w="70" w:type="dxa"/>
              <w:left w:w="85" w:type="dxa"/>
              <w:bottom w:w="70" w:type="dxa"/>
              <w:right w:w="85" w:type="dxa"/>
            </w:tcMar>
            <w:vAlign w:val="center"/>
          </w:tcPr>
          <w:p w14:paraId="343A8AA7" w14:textId="77777777" w:rsidR="009471EF" w:rsidRPr="000121EC" w:rsidRDefault="000723C2" w:rsidP="00F50C96">
            <w:pPr>
              <w:spacing w:after="0" w:line="240" w:lineRule="auto"/>
              <w:jc w:val="both"/>
              <w:rPr>
                <w:rFonts w:cs="Arial"/>
                <w:szCs w:val="21"/>
              </w:rPr>
            </w:pPr>
            <w:r w:rsidRPr="000121EC">
              <w:rPr>
                <w:rFonts w:cs="Arial"/>
                <w:szCs w:val="21"/>
              </w:rPr>
              <w:t>-0.59</w:t>
            </w:r>
          </w:p>
        </w:tc>
        <w:tc>
          <w:tcPr>
            <w:tcW w:w="1123" w:type="dxa"/>
            <w:tcMar>
              <w:top w:w="70" w:type="dxa"/>
              <w:left w:w="85" w:type="dxa"/>
              <w:bottom w:w="70" w:type="dxa"/>
              <w:right w:w="85" w:type="dxa"/>
            </w:tcMar>
            <w:vAlign w:val="center"/>
          </w:tcPr>
          <w:p w14:paraId="44E60AAD" w14:textId="77777777" w:rsidR="009471EF" w:rsidRPr="000121EC" w:rsidRDefault="000723C2" w:rsidP="00F50C96">
            <w:pPr>
              <w:spacing w:after="0" w:line="240" w:lineRule="auto"/>
              <w:jc w:val="both"/>
              <w:rPr>
                <w:rFonts w:cs="Arial"/>
                <w:szCs w:val="21"/>
              </w:rPr>
            </w:pPr>
            <w:r w:rsidRPr="000121EC">
              <w:rPr>
                <w:rFonts w:cs="Arial"/>
                <w:szCs w:val="21"/>
              </w:rPr>
              <w:t>-0.01</w:t>
            </w:r>
          </w:p>
        </w:tc>
        <w:tc>
          <w:tcPr>
            <w:tcW w:w="1123" w:type="dxa"/>
            <w:tcMar>
              <w:top w:w="70" w:type="dxa"/>
              <w:left w:w="85" w:type="dxa"/>
              <w:bottom w:w="70" w:type="dxa"/>
              <w:right w:w="85" w:type="dxa"/>
            </w:tcMar>
            <w:vAlign w:val="center"/>
          </w:tcPr>
          <w:p w14:paraId="483458CD" w14:textId="77777777" w:rsidR="009471EF" w:rsidRPr="000121EC" w:rsidRDefault="000723C2" w:rsidP="00F50C96">
            <w:pPr>
              <w:spacing w:after="0" w:line="240" w:lineRule="auto"/>
              <w:jc w:val="both"/>
              <w:rPr>
                <w:rFonts w:cs="Arial"/>
                <w:szCs w:val="21"/>
              </w:rPr>
            </w:pPr>
            <w:r w:rsidRPr="000121EC">
              <w:rPr>
                <w:rFonts w:cs="Arial"/>
                <w:szCs w:val="21"/>
              </w:rPr>
              <w:t>-0.45</w:t>
            </w:r>
          </w:p>
        </w:tc>
        <w:tc>
          <w:tcPr>
            <w:tcW w:w="1123" w:type="dxa"/>
            <w:tcMar>
              <w:top w:w="70" w:type="dxa"/>
              <w:left w:w="85" w:type="dxa"/>
              <w:bottom w:w="70" w:type="dxa"/>
              <w:right w:w="85" w:type="dxa"/>
            </w:tcMar>
            <w:vAlign w:val="center"/>
          </w:tcPr>
          <w:p w14:paraId="1B3F9507" w14:textId="77777777" w:rsidR="009471EF" w:rsidRPr="000121EC" w:rsidRDefault="000723C2" w:rsidP="00F50C96">
            <w:pPr>
              <w:spacing w:after="0" w:line="240" w:lineRule="auto"/>
              <w:jc w:val="both"/>
              <w:rPr>
                <w:rFonts w:cs="Arial"/>
                <w:szCs w:val="21"/>
              </w:rPr>
            </w:pPr>
            <w:r w:rsidRPr="000121EC">
              <w:rPr>
                <w:rFonts w:cs="Arial"/>
                <w:szCs w:val="21"/>
              </w:rPr>
              <w:t>-0.67</w:t>
            </w:r>
          </w:p>
        </w:tc>
      </w:tr>
    </w:tbl>
    <w:p w14:paraId="073032E5" w14:textId="77777777" w:rsidR="0059511B" w:rsidRPr="000121EC" w:rsidRDefault="0059511B" w:rsidP="00F50C96">
      <w:pPr>
        <w:pStyle w:val="TableNote"/>
        <w:spacing w:after="0"/>
        <w:ind w:left="720"/>
        <w:jc w:val="both"/>
        <w:rPr>
          <w:rFonts w:cs="Arial"/>
          <w:i/>
          <w:color w:val="auto"/>
          <w:sz w:val="21"/>
          <w:szCs w:val="21"/>
          <w:lang w:val="en-GB"/>
        </w:rPr>
      </w:pPr>
    </w:p>
    <w:p w14:paraId="5D18CCBD" w14:textId="018284E0" w:rsidR="008942F8" w:rsidRPr="000121EC" w:rsidRDefault="002F7A2B" w:rsidP="00F50C96">
      <w:pPr>
        <w:pStyle w:val="TableNote"/>
        <w:spacing w:after="0"/>
        <w:ind w:left="720"/>
        <w:jc w:val="both"/>
        <w:rPr>
          <w:rFonts w:cs="Arial"/>
          <w:i/>
          <w:color w:val="auto"/>
          <w:sz w:val="21"/>
          <w:szCs w:val="21"/>
          <w:lang w:val="en-GB"/>
        </w:rPr>
      </w:pPr>
      <w:r w:rsidRPr="000121EC">
        <w:rPr>
          <w:rFonts w:cs="Arial"/>
          <w:i/>
          <w:color w:val="auto"/>
          <w:sz w:val="21"/>
          <w:szCs w:val="21"/>
          <w:lang w:val="en-GB"/>
        </w:rPr>
        <w:t>Note: Columns (1) and (4) report the average all-year association. Columns (2) and (5) report the additional shock-year association using the continuous exposure. Columns (3) and (6) use the above-median exposure transformation. For the LPM, coefficients are marginal effects and can be read as probability changes for a one-standard-deviation increase. CRE-probit entries are population-averaged marginal effects based on the within-country coefficients after integrating over the country random intercept. All models include time effects, standardised controls for state aid/GDP and lagged trade openness, and forecast-vintage indicators. Inference uses country-clustered sandwich covariance estimates with the same finite-sample correction throughout. *, ** and *** denote significance at 10%, 5% and 1%, respectively.</w:t>
      </w:r>
    </w:p>
    <w:p w14:paraId="7AF012F9" w14:textId="77777777" w:rsidR="00A72A5D" w:rsidRPr="000121EC" w:rsidRDefault="00A72A5D" w:rsidP="00F50C96">
      <w:pPr>
        <w:pStyle w:val="Heading3"/>
        <w:spacing w:before="0" w:after="0" w:line="360" w:lineRule="auto"/>
        <w:ind w:left="720"/>
        <w:jc w:val="both"/>
        <w:rPr>
          <w:rFonts w:ascii="Arial" w:hAnsi="Arial" w:cs="Arial"/>
          <w:color w:val="auto"/>
          <w:szCs w:val="21"/>
        </w:rPr>
      </w:pPr>
    </w:p>
    <w:p w14:paraId="6798E305" w14:textId="77777777" w:rsidR="00A72A5D" w:rsidRPr="000121EC" w:rsidRDefault="00A72A5D" w:rsidP="00F50C96">
      <w:pPr>
        <w:jc w:val="both"/>
        <w:rPr>
          <w:rFonts w:cs="Arial"/>
          <w:szCs w:val="21"/>
        </w:rPr>
      </w:pPr>
    </w:p>
    <w:p w14:paraId="1B7352B1" w14:textId="27DA40AE" w:rsidR="008942F8" w:rsidRPr="000121EC" w:rsidRDefault="002F7A2B" w:rsidP="00F50C96">
      <w:pPr>
        <w:pStyle w:val="Heading3"/>
        <w:spacing w:before="0" w:after="0" w:line="360" w:lineRule="auto"/>
        <w:ind w:left="720"/>
        <w:jc w:val="both"/>
        <w:rPr>
          <w:rFonts w:ascii="Arial" w:hAnsi="Arial" w:cs="Arial"/>
          <w:color w:val="auto"/>
          <w:szCs w:val="21"/>
        </w:rPr>
      </w:pPr>
      <w:r w:rsidRPr="000121EC">
        <w:rPr>
          <w:rFonts w:ascii="Arial" w:hAnsi="Arial" w:cs="Arial"/>
          <w:color w:val="auto"/>
          <w:szCs w:val="21"/>
        </w:rPr>
        <w:t>ICT/AI-related corporate investment</w:t>
      </w:r>
    </w:p>
    <w:p w14:paraId="32381696" w14:textId="77777777" w:rsidR="008942F8" w:rsidRPr="000121EC" w:rsidRDefault="002F7A2B" w:rsidP="00F50C96">
      <w:pPr>
        <w:spacing w:after="0" w:line="360" w:lineRule="auto"/>
        <w:ind w:left="720"/>
        <w:jc w:val="both"/>
        <w:rPr>
          <w:rFonts w:cs="Arial"/>
          <w:szCs w:val="21"/>
        </w:rPr>
      </w:pPr>
      <w:r w:rsidRPr="000121EC">
        <w:rPr>
          <w:rFonts w:cs="Arial"/>
          <w:szCs w:val="21"/>
        </w:rPr>
        <w:t>The benchmark LPM associates a one-standard-deviation increase in lagged ICT/AI corporate investment with an eight-percentage-point increase in the probability of a positive growth surprise; the CRE-probit average marginal effect is nine percentage points. Both estimates are significant at the 10 percent level. The shock-interaction estimates are also positive but imprecise in both model classes. The evidence therefore supports a positive average relationship rather than a statistically distinct shock-year amplification. This is consistent with a broad organisational-flexibility channel that operates in ordinary years as well as during disturbances.</w:t>
      </w:r>
    </w:p>
    <w:p w14:paraId="09EBF1FF" w14:textId="77777777" w:rsidR="00A72A5D" w:rsidRPr="000121EC" w:rsidRDefault="00A72A5D" w:rsidP="00F50C96">
      <w:pPr>
        <w:pStyle w:val="Heading3"/>
        <w:spacing w:before="0" w:after="0" w:line="360" w:lineRule="auto"/>
        <w:ind w:left="720"/>
        <w:jc w:val="both"/>
        <w:rPr>
          <w:rFonts w:ascii="Arial" w:hAnsi="Arial" w:cs="Arial"/>
          <w:color w:val="auto"/>
          <w:szCs w:val="21"/>
        </w:rPr>
      </w:pPr>
    </w:p>
    <w:p w14:paraId="2CC73A81" w14:textId="6F4A2149" w:rsidR="008942F8" w:rsidRPr="000121EC" w:rsidRDefault="002F7A2B" w:rsidP="00F50C96">
      <w:pPr>
        <w:pStyle w:val="Heading3"/>
        <w:spacing w:before="0" w:after="0" w:line="360" w:lineRule="auto"/>
        <w:ind w:left="720"/>
        <w:jc w:val="both"/>
        <w:rPr>
          <w:rFonts w:ascii="Arial" w:hAnsi="Arial" w:cs="Arial"/>
          <w:color w:val="auto"/>
          <w:szCs w:val="21"/>
        </w:rPr>
      </w:pPr>
      <w:r w:rsidRPr="000121EC">
        <w:rPr>
          <w:rFonts w:ascii="Arial" w:hAnsi="Arial" w:cs="Arial"/>
          <w:color w:val="auto"/>
          <w:szCs w:val="21"/>
        </w:rPr>
        <w:t>AI equity investment</w:t>
      </w:r>
    </w:p>
    <w:p w14:paraId="721C41AC" w14:textId="77777777" w:rsidR="008942F8" w:rsidRPr="000121EC" w:rsidRDefault="002F7A2B" w:rsidP="00F50C96">
      <w:pPr>
        <w:spacing w:after="0" w:line="360" w:lineRule="auto"/>
        <w:ind w:left="720"/>
        <w:jc w:val="both"/>
        <w:rPr>
          <w:rFonts w:cs="Arial"/>
          <w:szCs w:val="21"/>
        </w:rPr>
      </w:pPr>
      <w:r w:rsidRPr="000121EC">
        <w:rPr>
          <w:rFonts w:cs="Arial"/>
          <w:szCs w:val="21"/>
        </w:rPr>
        <w:t xml:space="preserve">AI equity-investment coefficients are negative in every specification, ranging from approximately −0.03 to −0.11 on the probability scale, but none is statistically significant. The direction matches the descriptive indication that higher incoming AI equity investment is not a short-run buffer. However, the estimates do not justify a </w:t>
      </w:r>
      <w:r w:rsidRPr="000121EC">
        <w:rPr>
          <w:rFonts w:cs="Arial"/>
          <w:szCs w:val="21"/>
        </w:rPr>
        <w:lastRenderedPageBreak/>
        <w:t>conclusion that AI investment causes weaker resilience. Deal counts may be a noisy proxy for productive capacity, GDP scaling may introduce measurement variation, and the payoff horizon may extend beyond the annual forecast window.</w:t>
      </w:r>
    </w:p>
    <w:p w14:paraId="56485BE5" w14:textId="77777777" w:rsidR="00A72A5D" w:rsidRPr="000121EC" w:rsidRDefault="00A72A5D" w:rsidP="00F50C96">
      <w:pPr>
        <w:pStyle w:val="Heading3"/>
        <w:spacing w:before="0" w:after="0" w:line="360" w:lineRule="auto"/>
        <w:ind w:left="720"/>
        <w:jc w:val="both"/>
        <w:rPr>
          <w:rFonts w:ascii="Arial" w:hAnsi="Arial" w:cs="Arial"/>
          <w:color w:val="auto"/>
          <w:szCs w:val="21"/>
        </w:rPr>
      </w:pPr>
    </w:p>
    <w:p w14:paraId="41106962" w14:textId="3BAF7C82" w:rsidR="008942F8" w:rsidRPr="000121EC" w:rsidRDefault="002F7A2B" w:rsidP="00F50C96">
      <w:pPr>
        <w:pStyle w:val="Heading3"/>
        <w:spacing w:before="0" w:after="0" w:line="360" w:lineRule="auto"/>
        <w:ind w:left="720"/>
        <w:jc w:val="both"/>
        <w:rPr>
          <w:rFonts w:ascii="Arial" w:hAnsi="Arial" w:cs="Arial"/>
          <w:color w:val="auto"/>
          <w:szCs w:val="21"/>
        </w:rPr>
      </w:pPr>
      <w:r w:rsidRPr="000121EC">
        <w:rPr>
          <w:rFonts w:ascii="Arial" w:hAnsi="Arial" w:cs="Arial"/>
          <w:color w:val="auto"/>
          <w:szCs w:val="21"/>
        </w:rPr>
        <w:t>ICT/AI-related exports</w:t>
      </w:r>
    </w:p>
    <w:p w14:paraId="2DA79EDB" w14:textId="77777777" w:rsidR="008942F8" w:rsidRPr="000121EC" w:rsidRDefault="002F7A2B" w:rsidP="00F50C96">
      <w:pPr>
        <w:spacing w:after="0" w:line="360" w:lineRule="auto"/>
        <w:ind w:left="720"/>
        <w:jc w:val="both"/>
        <w:rPr>
          <w:rFonts w:cs="Arial"/>
          <w:szCs w:val="21"/>
        </w:rPr>
      </w:pPr>
      <w:r w:rsidRPr="000121EC">
        <w:rPr>
          <w:rFonts w:cs="Arial"/>
          <w:szCs w:val="21"/>
        </w:rPr>
        <w:t>Lagged ICT/AI-related export exposure has no statistically significant average effect in model (1). Its additional shock-year association is positive and statistically significant in both interaction variants. In the LPM, a one-standard-deviation increase in the continuous exposure is associated with a further seven-percentage-point rise in the probability of a positive surprise during shock years; the above-median interaction yields six percentage points. The corresponding CRE-probit marginal effects are eight and seven percentage points, both significant at the 5 percent level. The close probability-scale agreement across the linear and nonlinear models is the strongest regression finding in the paper and confirms the country-clustered bivariate pattern.</w:t>
      </w:r>
    </w:p>
    <w:p w14:paraId="0C06C5C5" w14:textId="77777777" w:rsidR="00A72A5D" w:rsidRPr="000121EC" w:rsidRDefault="00A72A5D" w:rsidP="00F50C96">
      <w:pPr>
        <w:pStyle w:val="Heading3"/>
        <w:spacing w:before="0" w:after="0" w:line="360" w:lineRule="auto"/>
        <w:ind w:left="720"/>
        <w:jc w:val="both"/>
        <w:rPr>
          <w:rFonts w:ascii="Arial" w:hAnsi="Arial" w:cs="Arial"/>
          <w:color w:val="auto"/>
          <w:szCs w:val="21"/>
        </w:rPr>
      </w:pPr>
    </w:p>
    <w:p w14:paraId="128611A0" w14:textId="30FA43C6" w:rsidR="008942F8" w:rsidRPr="000121EC" w:rsidRDefault="002F7A2B" w:rsidP="00F50C96">
      <w:pPr>
        <w:pStyle w:val="Heading3"/>
        <w:spacing w:before="0" w:after="0" w:line="360" w:lineRule="auto"/>
        <w:ind w:left="720"/>
        <w:jc w:val="both"/>
        <w:rPr>
          <w:rFonts w:ascii="Arial" w:hAnsi="Arial" w:cs="Arial"/>
          <w:color w:val="auto"/>
          <w:szCs w:val="21"/>
        </w:rPr>
      </w:pPr>
      <w:r w:rsidRPr="000121EC">
        <w:rPr>
          <w:rFonts w:ascii="Arial" w:hAnsi="Arial" w:cs="Arial"/>
          <w:color w:val="auto"/>
          <w:szCs w:val="21"/>
        </w:rPr>
        <w:t>Semiconductor-market correlation</w:t>
      </w:r>
    </w:p>
    <w:p w14:paraId="3C5EE757" w14:textId="77777777" w:rsidR="008942F8" w:rsidRPr="000121EC" w:rsidRDefault="002F7A2B" w:rsidP="00F50C96">
      <w:pPr>
        <w:spacing w:after="0" w:line="360" w:lineRule="auto"/>
        <w:ind w:left="720"/>
        <w:jc w:val="both"/>
        <w:rPr>
          <w:rFonts w:cs="Arial"/>
          <w:szCs w:val="21"/>
        </w:rPr>
      </w:pPr>
      <w:r w:rsidRPr="000121EC">
        <w:rPr>
          <w:rFonts w:cs="Arial"/>
          <w:szCs w:val="21"/>
        </w:rPr>
        <w:t xml:space="preserve">The average association of national-market correlation with the SOX index is essentially zero in both models. The shock interactions are negative and numerically large, but they are not statistically significant. Because correlation estimates can be volatile, especially when aggregated from rolling quarterly windows, the result should not be overinterpreted. The available evidence simply does not establish that financial-market </w:t>
      </w:r>
      <w:proofErr w:type="spellStart"/>
      <w:r w:rsidRPr="000121EC">
        <w:rPr>
          <w:rFonts w:cs="Arial"/>
          <w:szCs w:val="21"/>
        </w:rPr>
        <w:t>comovement</w:t>
      </w:r>
      <w:proofErr w:type="spellEnd"/>
      <w:r w:rsidRPr="000121EC">
        <w:rPr>
          <w:rFonts w:cs="Arial"/>
          <w:szCs w:val="21"/>
        </w:rPr>
        <w:t xml:space="preserve"> with the semiconductor cycle increases the probability of aggregate growth outperformance.</w:t>
      </w:r>
    </w:p>
    <w:p w14:paraId="29BF581E" w14:textId="77777777" w:rsidR="00A72A5D" w:rsidRPr="000121EC" w:rsidRDefault="00A72A5D" w:rsidP="00F50C96">
      <w:pPr>
        <w:pStyle w:val="Heading1"/>
        <w:spacing w:before="0" w:after="0" w:line="360" w:lineRule="auto"/>
        <w:ind w:left="720"/>
        <w:jc w:val="both"/>
        <w:rPr>
          <w:rFonts w:ascii="Arial" w:hAnsi="Arial" w:cs="Arial"/>
          <w:color w:val="auto"/>
          <w:sz w:val="21"/>
          <w:szCs w:val="21"/>
        </w:rPr>
      </w:pPr>
    </w:p>
    <w:p w14:paraId="1FDDC1A2" w14:textId="7ADDCAF0" w:rsidR="008942F8" w:rsidRPr="000121EC" w:rsidRDefault="002F7A2B" w:rsidP="00F50C96">
      <w:pPr>
        <w:pStyle w:val="Heading1"/>
        <w:spacing w:before="0" w:after="0" w:line="360" w:lineRule="auto"/>
        <w:ind w:left="720"/>
        <w:jc w:val="both"/>
        <w:rPr>
          <w:rFonts w:ascii="Arial" w:hAnsi="Arial" w:cs="Arial"/>
          <w:color w:val="auto"/>
          <w:sz w:val="21"/>
          <w:szCs w:val="21"/>
        </w:rPr>
      </w:pPr>
      <w:r w:rsidRPr="000121EC">
        <w:rPr>
          <w:rFonts w:ascii="Arial" w:hAnsi="Arial" w:cs="Arial"/>
          <w:color w:val="auto"/>
          <w:sz w:val="21"/>
          <w:szCs w:val="21"/>
        </w:rPr>
        <w:t>5. Discussion</w:t>
      </w:r>
    </w:p>
    <w:p w14:paraId="195A3334" w14:textId="77777777" w:rsidR="008942F8" w:rsidRPr="000121EC" w:rsidRDefault="002F7A2B" w:rsidP="00F50C96">
      <w:pPr>
        <w:spacing w:after="0" w:line="360" w:lineRule="auto"/>
        <w:ind w:left="720"/>
        <w:jc w:val="both"/>
        <w:rPr>
          <w:rFonts w:cs="Arial"/>
          <w:szCs w:val="21"/>
        </w:rPr>
      </w:pPr>
      <w:r w:rsidRPr="000121EC">
        <w:rPr>
          <w:rFonts w:cs="Arial"/>
          <w:szCs w:val="21"/>
        </w:rPr>
        <w:t xml:space="preserve">The findings reject a one-dimensional account of AI exposure. Corporate investment, equity financing, product exports and stock-market </w:t>
      </w:r>
      <w:proofErr w:type="spellStart"/>
      <w:r w:rsidRPr="000121EC">
        <w:rPr>
          <w:rFonts w:cs="Arial"/>
          <w:szCs w:val="21"/>
        </w:rPr>
        <w:t>comovement</w:t>
      </w:r>
      <w:proofErr w:type="spellEnd"/>
      <w:r w:rsidRPr="000121EC">
        <w:rPr>
          <w:rFonts w:cs="Arial"/>
          <w:szCs w:val="21"/>
        </w:rPr>
        <w:t xml:space="preserve"> represent different stages and transmission mechanisms. Treating them as interchangeable would conceal the main result: broad digital capital is associated with positive surprises on average, whereas ICT/AI exports show an additional relationship specifically in shock years. The first pattern is compatible with a persistent capacity to reorganise production and information flows. The second is compatible with the unusual demand composition of the pandemic and subsequent technology cycle.</w:t>
      </w:r>
    </w:p>
    <w:p w14:paraId="081C4122" w14:textId="77777777" w:rsidR="00B67D32" w:rsidRPr="000121EC" w:rsidRDefault="00B67D32" w:rsidP="00F50C96">
      <w:pPr>
        <w:spacing w:after="0" w:line="360" w:lineRule="auto"/>
        <w:ind w:left="720"/>
        <w:jc w:val="both"/>
        <w:rPr>
          <w:rFonts w:cs="Arial"/>
          <w:szCs w:val="21"/>
        </w:rPr>
      </w:pPr>
    </w:p>
    <w:p w14:paraId="346B1314" w14:textId="55ED3522" w:rsidR="008942F8" w:rsidRPr="000121EC" w:rsidRDefault="002F7A2B" w:rsidP="00F50C96">
      <w:pPr>
        <w:spacing w:after="0" w:line="360" w:lineRule="auto"/>
        <w:ind w:left="720"/>
        <w:jc w:val="both"/>
        <w:rPr>
          <w:rFonts w:cs="Arial"/>
          <w:szCs w:val="21"/>
        </w:rPr>
      </w:pPr>
      <w:r w:rsidRPr="000121EC">
        <w:rPr>
          <w:rFonts w:cs="Arial"/>
          <w:szCs w:val="21"/>
        </w:rPr>
        <w:t xml:space="preserve">The LPM–CRE comparison strengthens this interpretation without eliminating identification concerns. The LPM permits arbitrary correlation between time-invariant country characteristics and the exposures through country fixed effects, and its coefficients are direct percentage-point effects. The CRE probit imposes a nonlinear </w:t>
      </w:r>
      <w:r w:rsidRPr="000121EC">
        <w:rPr>
          <w:rFonts w:cs="Arial"/>
          <w:szCs w:val="21"/>
        </w:rPr>
        <w:lastRenderedPageBreak/>
        <w:t>probability function and a normally distributed remaining country intercept but relaxes ordinary random-effects independence through country means of the time-varying regressors. Similar marginal effects across the two models indicate that the qualitative conclusions are not driven by the linear probability functional form. They do not prove causality or validate the stronger assumptions of either specification.</w:t>
      </w:r>
    </w:p>
    <w:p w14:paraId="1AC6C12A" w14:textId="77777777" w:rsidR="00B67D32" w:rsidRPr="000121EC" w:rsidRDefault="00B67D32" w:rsidP="00F50C96">
      <w:pPr>
        <w:spacing w:after="0" w:line="360" w:lineRule="auto"/>
        <w:ind w:left="720"/>
        <w:jc w:val="both"/>
        <w:rPr>
          <w:rFonts w:cs="Arial"/>
          <w:szCs w:val="21"/>
        </w:rPr>
      </w:pPr>
    </w:p>
    <w:p w14:paraId="0AC7C128" w14:textId="2813CDB1" w:rsidR="008942F8" w:rsidRPr="000121EC" w:rsidRDefault="002F7A2B" w:rsidP="00F50C96">
      <w:pPr>
        <w:spacing w:after="0" w:line="360" w:lineRule="auto"/>
        <w:ind w:left="720"/>
        <w:jc w:val="both"/>
        <w:rPr>
          <w:rFonts w:cs="Arial"/>
          <w:szCs w:val="21"/>
        </w:rPr>
      </w:pPr>
      <w:r w:rsidRPr="000121EC">
        <w:rPr>
          <w:rFonts w:cs="Arial"/>
          <w:szCs w:val="21"/>
        </w:rPr>
        <w:t>Several limitations matter. First, there are only ten country clusters. The finite-sample correction and cluster degrees of freedom are appropriate, but asymptotic cluster-robust inference can still be fragile. A wild-cluster bootstrap for the benchmark LPM would be a useful additional check. Second, only three shock years are labelled, and those episodes are not independent replications of a common treatment. The pandemic, the energy shock and the 2025 uncertainty episode differ in origin and sectoral incidence. Third, all three occur during a structural AI and semiconductor upswing. The export result may therefore identify exposure to a favourable technology-demand configuration rather than a general-purpose buffer against any shock.</w:t>
      </w:r>
    </w:p>
    <w:p w14:paraId="350547FE" w14:textId="77777777" w:rsidR="00A72A5D" w:rsidRPr="000121EC" w:rsidRDefault="00A72A5D" w:rsidP="00F50C96">
      <w:pPr>
        <w:spacing w:after="0" w:line="360" w:lineRule="auto"/>
        <w:ind w:left="720"/>
        <w:jc w:val="both"/>
        <w:rPr>
          <w:rFonts w:cs="Arial"/>
          <w:szCs w:val="21"/>
        </w:rPr>
      </w:pPr>
    </w:p>
    <w:p w14:paraId="2C49DBAC" w14:textId="2CA4455A" w:rsidR="008942F8" w:rsidRPr="000121EC" w:rsidRDefault="002F7A2B" w:rsidP="00F50C96">
      <w:pPr>
        <w:spacing w:after="0" w:line="360" w:lineRule="auto"/>
        <w:ind w:left="720"/>
        <w:jc w:val="both"/>
        <w:rPr>
          <w:rFonts w:cs="Arial"/>
          <w:szCs w:val="21"/>
        </w:rPr>
      </w:pPr>
      <w:r w:rsidRPr="000121EC">
        <w:rPr>
          <w:rFonts w:cs="Arial"/>
          <w:szCs w:val="21"/>
        </w:rPr>
        <w:t>Fourth, the ratios are vulnerable to measurement and denominator effects. Lagging the exposure variables and using lagged GDP beneath contemporaneous state aid reduce mechanical movements caused by a shock-year denominator, but they cannot remove all endogeneity. Policy support responds to expected weakness, trade structure changes slowly, and investment may anticipate future conditions. Fifth, the positive-surprise outcome conflates resilience with forecast error. Forecast-type controls and fixed effects address systematic vintage, horizon, country and target-year differences, but unforeseen country-specific news remains part of the dependent variable.</w:t>
      </w:r>
    </w:p>
    <w:p w14:paraId="4B7BDB02" w14:textId="77777777" w:rsidR="00B67D32" w:rsidRPr="000121EC" w:rsidRDefault="00B67D32" w:rsidP="00F50C96">
      <w:pPr>
        <w:spacing w:after="0" w:line="360" w:lineRule="auto"/>
        <w:ind w:left="720"/>
        <w:jc w:val="both"/>
        <w:rPr>
          <w:rFonts w:cs="Arial"/>
          <w:szCs w:val="21"/>
        </w:rPr>
      </w:pPr>
    </w:p>
    <w:p w14:paraId="287D1B8B" w14:textId="3EFB586B" w:rsidR="008942F8" w:rsidRPr="000121EC" w:rsidRDefault="002F7A2B" w:rsidP="00F50C96">
      <w:pPr>
        <w:spacing w:after="0" w:line="360" w:lineRule="auto"/>
        <w:ind w:left="720"/>
        <w:jc w:val="both"/>
        <w:rPr>
          <w:rFonts w:cs="Arial"/>
          <w:szCs w:val="21"/>
        </w:rPr>
      </w:pPr>
      <w:r w:rsidRPr="000121EC">
        <w:rPr>
          <w:rFonts w:cs="Arial"/>
          <w:szCs w:val="21"/>
        </w:rPr>
        <w:t>The policy implication is correspondingly conditional. Sustained ICT investment may contribute to general adaptability, supporting policies that facilitate digital infrastructure, complementary skills and organisational adoption. Export specialisation in ICT/AI goods can provide a powerful external-demand channel when shocks accelerate digital spending, but it can also concentrate risk. If a future disturbance begins with an AI-capex retrenchment, semiconductor oversupply, export restrictions or a valuation correction, the same countries that benefited in 2020–2025 may be more exposed. Resilience policy should therefore combine digital capacity with diversification rather than treating high AI exposure as an unconditional hedge.</w:t>
      </w:r>
    </w:p>
    <w:p w14:paraId="06EDD87A" w14:textId="77777777" w:rsidR="00A72A5D" w:rsidRPr="000121EC" w:rsidRDefault="00A72A5D" w:rsidP="00F50C96">
      <w:pPr>
        <w:pStyle w:val="Heading1"/>
        <w:spacing w:before="0" w:after="0" w:line="360" w:lineRule="auto"/>
        <w:ind w:left="720"/>
        <w:jc w:val="both"/>
        <w:rPr>
          <w:rFonts w:ascii="Arial" w:hAnsi="Arial" w:cs="Arial"/>
          <w:color w:val="auto"/>
          <w:sz w:val="21"/>
          <w:szCs w:val="21"/>
        </w:rPr>
      </w:pPr>
    </w:p>
    <w:p w14:paraId="629676F7" w14:textId="26A79AE4" w:rsidR="008942F8" w:rsidRPr="000121EC" w:rsidRDefault="002F7A2B" w:rsidP="00F50C96">
      <w:pPr>
        <w:pStyle w:val="Heading1"/>
        <w:spacing w:before="0" w:after="0" w:line="360" w:lineRule="auto"/>
        <w:ind w:left="720"/>
        <w:jc w:val="both"/>
        <w:rPr>
          <w:rFonts w:ascii="Arial" w:hAnsi="Arial" w:cs="Arial"/>
          <w:color w:val="auto"/>
          <w:sz w:val="21"/>
          <w:szCs w:val="21"/>
        </w:rPr>
      </w:pPr>
      <w:r w:rsidRPr="000121EC">
        <w:rPr>
          <w:rFonts w:ascii="Arial" w:hAnsi="Arial" w:cs="Arial"/>
          <w:color w:val="auto"/>
          <w:sz w:val="21"/>
          <w:szCs w:val="21"/>
        </w:rPr>
        <w:t>6. Conclusion</w:t>
      </w:r>
    </w:p>
    <w:p w14:paraId="415EC8E8" w14:textId="77777777" w:rsidR="008942F8" w:rsidRPr="000121EC" w:rsidRDefault="002F7A2B" w:rsidP="00F50C96">
      <w:pPr>
        <w:spacing w:after="0" w:line="360" w:lineRule="auto"/>
        <w:ind w:left="720"/>
        <w:jc w:val="both"/>
        <w:rPr>
          <w:rFonts w:cs="Arial"/>
          <w:szCs w:val="21"/>
        </w:rPr>
      </w:pPr>
      <w:r w:rsidRPr="000121EC">
        <w:rPr>
          <w:rFonts w:cs="Arial"/>
          <w:szCs w:val="21"/>
        </w:rPr>
        <w:t xml:space="preserve">This paper studies whether ICT- and AI-related exposure is associated with the probability that realised GDP growth exceeds European Commission forecasts in ten </w:t>
      </w:r>
      <w:r w:rsidRPr="000121EC">
        <w:rPr>
          <w:rFonts w:cs="Arial"/>
          <w:szCs w:val="21"/>
        </w:rPr>
        <w:lastRenderedPageBreak/>
        <w:t xml:space="preserve">euro area countries. The updated evidence covers 2011–2025, uses one-period-lagged focal exposures, applies country-clustered tests throughout, and distinguishes a fixed-effects LPM benchmark from a </w:t>
      </w:r>
      <w:proofErr w:type="spellStart"/>
      <w:r w:rsidRPr="000121EC">
        <w:rPr>
          <w:rFonts w:cs="Arial"/>
          <w:szCs w:val="21"/>
        </w:rPr>
        <w:t>Mundlak</w:t>
      </w:r>
      <w:proofErr w:type="spellEnd"/>
      <w:r w:rsidRPr="000121EC">
        <w:rPr>
          <w:rFonts w:cs="Arial"/>
          <w:szCs w:val="21"/>
        </w:rPr>
        <w:t xml:space="preserve"> CRE-probit robustness model. Forecast-vintage indicators and standardised controls for state aid relative to lagged GDP and lagged trade openness are included.</w:t>
      </w:r>
    </w:p>
    <w:p w14:paraId="3D83C633" w14:textId="77777777" w:rsidR="00A72A5D" w:rsidRPr="000121EC" w:rsidRDefault="00A72A5D" w:rsidP="00F50C96">
      <w:pPr>
        <w:pStyle w:val="ListBullet"/>
        <w:numPr>
          <w:ilvl w:val="0"/>
          <w:numId w:val="0"/>
        </w:numPr>
        <w:spacing w:after="0" w:line="360" w:lineRule="auto"/>
        <w:ind w:left="720"/>
        <w:jc w:val="both"/>
        <w:rPr>
          <w:rFonts w:cs="Arial"/>
          <w:szCs w:val="21"/>
        </w:rPr>
      </w:pPr>
    </w:p>
    <w:p w14:paraId="233BCE72" w14:textId="6D9663E9" w:rsidR="008942F8" w:rsidRPr="000121EC" w:rsidRDefault="002F7A2B" w:rsidP="00F50C96">
      <w:pPr>
        <w:pStyle w:val="ListBullet"/>
        <w:numPr>
          <w:ilvl w:val="0"/>
          <w:numId w:val="0"/>
        </w:numPr>
        <w:spacing w:after="0" w:line="360" w:lineRule="auto"/>
        <w:ind w:left="720"/>
        <w:jc w:val="both"/>
        <w:rPr>
          <w:rFonts w:cs="Arial"/>
          <w:szCs w:val="21"/>
        </w:rPr>
      </w:pPr>
      <w:r w:rsidRPr="000121EC">
        <w:rPr>
          <w:rFonts w:cs="Arial"/>
          <w:szCs w:val="21"/>
        </w:rPr>
        <w:t>Positive growth surprises are markedly more common in the three designated shock years than in the full sample: approximately 78 percent versus 54 percent.</w:t>
      </w:r>
      <w:r w:rsidR="007338D6" w:rsidRPr="000121EC">
        <w:rPr>
          <w:rFonts w:cs="Arial"/>
          <w:szCs w:val="21"/>
        </w:rPr>
        <w:t xml:space="preserve"> </w:t>
      </w:r>
      <w:r w:rsidRPr="000121EC">
        <w:rPr>
          <w:rFonts w:cs="Arial"/>
          <w:szCs w:val="21"/>
        </w:rPr>
        <w:t>Lagged ICT/AI corporate investment has a positive average association with the probability of a positive growth surprise, on the order of eight to nine percentage points for a one-standard-deviation increase.</w:t>
      </w:r>
      <w:r w:rsidR="007338D6" w:rsidRPr="000121EC">
        <w:rPr>
          <w:rFonts w:cs="Arial"/>
          <w:szCs w:val="21"/>
        </w:rPr>
        <w:t xml:space="preserve"> L</w:t>
      </w:r>
      <w:r w:rsidRPr="000121EC">
        <w:rPr>
          <w:rFonts w:cs="Arial"/>
          <w:szCs w:val="21"/>
        </w:rPr>
        <w:t>agged ICT/AI-related export exposure has no clear average association but a positive additional shock-year association, significant in both the LPM and CRE probit.</w:t>
      </w:r>
      <w:r w:rsidR="007338D6" w:rsidRPr="000121EC">
        <w:rPr>
          <w:rFonts w:cs="Arial"/>
          <w:szCs w:val="21"/>
        </w:rPr>
        <w:t xml:space="preserve"> </w:t>
      </w:r>
      <w:r w:rsidRPr="000121EC">
        <w:rPr>
          <w:rFonts w:cs="Arial"/>
          <w:szCs w:val="21"/>
        </w:rPr>
        <w:t>Incoming AI equity investment and semiconductor-market correlation do not show robust resilience-enhancing relationships.</w:t>
      </w:r>
    </w:p>
    <w:p w14:paraId="2A517DAE" w14:textId="77777777" w:rsidR="007338D6" w:rsidRPr="000121EC" w:rsidRDefault="007338D6" w:rsidP="00F50C96">
      <w:pPr>
        <w:pStyle w:val="ListBullet"/>
        <w:numPr>
          <w:ilvl w:val="0"/>
          <w:numId w:val="0"/>
        </w:numPr>
        <w:spacing w:after="0" w:line="360" w:lineRule="auto"/>
        <w:ind w:left="720"/>
        <w:jc w:val="both"/>
        <w:rPr>
          <w:rFonts w:cs="Arial"/>
          <w:szCs w:val="21"/>
        </w:rPr>
      </w:pPr>
    </w:p>
    <w:p w14:paraId="690DE533" w14:textId="25E94B8E" w:rsidR="008942F8" w:rsidRPr="000121EC" w:rsidRDefault="002F7A2B" w:rsidP="00F50C96">
      <w:pPr>
        <w:pStyle w:val="ListBullet"/>
        <w:numPr>
          <w:ilvl w:val="0"/>
          <w:numId w:val="0"/>
        </w:numPr>
        <w:spacing w:after="0" w:line="360" w:lineRule="auto"/>
        <w:ind w:left="720"/>
        <w:jc w:val="both"/>
        <w:rPr>
          <w:rFonts w:cs="Arial"/>
          <w:szCs w:val="21"/>
        </w:rPr>
      </w:pPr>
      <w:r w:rsidRPr="000121EC">
        <w:rPr>
          <w:rFonts w:cs="Arial"/>
          <w:szCs w:val="21"/>
        </w:rPr>
        <w:t>The similarity of LPM effects and CRE-probit marginal effects supports functional-form robustness, not a causal interpretation.</w:t>
      </w:r>
      <w:r w:rsidR="007338D6" w:rsidRPr="000121EC">
        <w:rPr>
          <w:rFonts w:cs="Arial"/>
          <w:szCs w:val="21"/>
        </w:rPr>
        <w:t xml:space="preserve"> </w:t>
      </w:r>
      <w:r w:rsidRPr="000121EC">
        <w:rPr>
          <w:rFonts w:cs="Arial"/>
          <w:szCs w:val="21"/>
        </w:rPr>
        <w:t>The evidence is best read as an indication that digital resilience is channel-specific. Installed ICT capital may support broad economic flexibility, while export specialisation appears to have mattered because recent shocks coincided with unusually strong demand for technology goods. The small country panel, the limited number of shock episodes and the possibility of sector-originating shocks warrant restraint. A natural next step is to supplement the benchmark inference with wild-cluster-bootstrap procedures and to test whether the export relationship survives a wider set of shocks whose origins are outside—and within—the AI sector.</w:t>
      </w:r>
    </w:p>
    <w:p w14:paraId="7B3F1AEC" w14:textId="77777777" w:rsidR="007338D6" w:rsidRPr="000121EC" w:rsidRDefault="007338D6" w:rsidP="00F50C96">
      <w:pPr>
        <w:pStyle w:val="ListBullet"/>
        <w:numPr>
          <w:ilvl w:val="0"/>
          <w:numId w:val="0"/>
        </w:numPr>
        <w:spacing w:after="0" w:line="360" w:lineRule="auto"/>
        <w:ind w:left="720"/>
        <w:jc w:val="both"/>
        <w:rPr>
          <w:rFonts w:cs="Arial"/>
          <w:szCs w:val="21"/>
        </w:rPr>
      </w:pPr>
    </w:p>
    <w:p w14:paraId="53DCE237" w14:textId="77777777" w:rsidR="00A72A5D" w:rsidRPr="000121EC" w:rsidRDefault="00A72A5D" w:rsidP="00F50C96">
      <w:pPr>
        <w:pStyle w:val="ListBullet"/>
        <w:numPr>
          <w:ilvl w:val="0"/>
          <w:numId w:val="0"/>
        </w:numPr>
        <w:spacing w:after="0" w:line="360" w:lineRule="auto"/>
        <w:ind w:left="720"/>
        <w:jc w:val="both"/>
        <w:rPr>
          <w:rFonts w:cs="Arial"/>
          <w:szCs w:val="21"/>
        </w:rPr>
      </w:pPr>
    </w:p>
    <w:p w14:paraId="2308FA92" w14:textId="77777777" w:rsidR="00A72A5D" w:rsidRPr="000121EC" w:rsidRDefault="00A72A5D" w:rsidP="00F50C96">
      <w:pPr>
        <w:pStyle w:val="Heading1"/>
        <w:spacing w:before="0" w:after="0" w:line="360" w:lineRule="auto"/>
        <w:ind w:left="720"/>
        <w:jc w:val="both"/>
        <w:rPr>
          <w:rFonts w:ascii="Arial" w:hAnsi="Arial" w:cs="Arial"/>
          <w:color w:val="auto"/>
          <w:sz w:val="21"/>
          <w:szCs w:val="21"/>
        </w:rPr>
      </w:pPr>
      <w:r w:rsidRPr="000121EC">
        <w:rPr>
          <w:rFonts w:ascii="Arial" w:hAnsi="Arial" w:cs="Arial"/>
          <w:color w:val="auto"/>
          <w:sz w:val="21"/>
          <w:szCs w:val="21"/>
        </w:rPr>
        <w:t>References</w:t>
      </w:r>
    </w:p>
    <w:p w14:paraId="2A8188C2" w14:textId="77777777" w:rsidR="00A72A5D" w:rsidRPr="000121EC" w:rsidRDefault="00A72A5D" w:rsidP="00F50C96">
      <w:pPr>
        <w:spacing w:after="0" w:line="360" w:lineRule="auto"/>
        <w:ind w:left="990" w:hanging="270"/>
        <w:jc w:val="both"/>
        <w:rPr>
          <w:rFonts w:cs="Arial"/>
          <w:szCs w:val="21"/>
        </w:rPr>
      </w:pPr>
      <w:r w:rsidRPr="000121EC">
        <w:rPr>
          <w:rFonts w:cs="Arial"/>
          <w:szCs w:val="21"/>
        </w:rPr>
        <w:t xml:space="preserve">Abidi, N., El </w:t>
      </w:r>
      <w:proofErr w:type="spellStart"/>
      <w:r w:rsidRPr="000121EC">
        <w:rPr>
          <w:rFonts w:cs="Arial"/>
          <w:szCs w:val="21"/>
        </w:rPr>
        <w:t>Herradi</w:t>
      </w:r>
      <w:proofErr w:type="spellEnd"/>
      <w:r w:rsidRPr="000121EC">
        <w:rPr>
          <w:rFonts w:cs="Arial"/>
          <w:szCs w:val="21"/>
        </w:rPr>
        <w:t>, M., &amp; Sakha, S. (2022). Digitalization and resilience: Firm-level evidence during the COVID-19 pandemic. IMF Working Paper 2022/034. https://doi.org/10.5089/9798400201073.001</w:t>
      </w:r>
    </w:p>
    <w:p w14:paraId="46684C86" w14:textId="77777777" w:rsidR="00A72A5D" w:rsidRPr="000121EC" w:rsidRDefault="00A72A5D" w:rsidP="00F50C96">
      <w:pPr>
        <w:spacing w:after="0" w:line="360" w:lineRule="auto"/>
        <w:ind w:left="990" w:hanging="270"/>
        <w:jc w:val="both"/>
        <w:rPr>
          <w:rFonts w:cs="Arial"/>
          <w:szCs w:val="21"/>
        </w:rPr>
      </w:pPr>
      <w:r w:rsidRPr="000121EC">
        <w:rPr>
          <w:rFonts w:cs="Arial"/>
          <w:szCs w:val="21"/>
        </w:rPr>
        <w:t>Bilal, M., Aqib, S., &amp; Raza, A. (2024). Strengthening economic resilience through ICT during the COVID-19 pandemic: Evidence from 100 countries. Discover Sustainability, 5, 534. https://doi.org/10.1007/s43621-024-00729-x</w:t>
      </w:r>
    </w:p>
    <w:p w14:paraId="2A4C868D" w14:textId="77777777" w:rsidR="00A72A5D" w:rsidRPr="000121EC" w:rsidRDefault="00A72A5D" w:rsidP="00F50C96">
      <w:pPr>
        <w:spacing w:after="0" w:line="360" w:lineRule="auto"/>
        <w:ind w:left="990" w:hanging="270"/>
        <w:jc w:val="both"/>
        <w:rPr>
          <w:rFonts w:cs="Arial"/>
          <w:szCs w:val="21"/>
        </w:rPr>
      </w:pPr>
      <w:r w:rsidRPr="000121EC">
        <w:rPr>
          <w:rFonts w:cs="Arial"/>
          <w:szCs w:val="21"/>
        </w:rPr>
        <w:t>Cameron, A. C., &amp; Miller, D. L. (2015). A practitioner’s guide to cluster-robust inference. Journal of Human Resources, 50(2), 317–372.</w:t>
      </w:r>
    </w:p>
    <w:p w14:paraId="54D288D7" w14:textId="77777777" w:rsidR="00A72A5D" w:rsidRPr="000121EC" w:rsidRDefault="00A72A5D" w:rsidP="00F50C96">
      <w:pPr>
        <w:spacing w:after="0" w:line="360" w:lineRule="auto"/>
        <w:ind w:left="990" w:hanging="270"/>
        <w:jc w:val="both"/>
        <w:rPr>
          <w:rFonts w:cs="Arial"/>
          <w:szCs w:val="21"/>
        </w:rPr>
      </w:pPr>
      <w:r w:rsidRPr="000121EC">
        <w:rPr>
          <w:rFonts w:cs="Arial"/>
          <w:szCs w:val="21"/>
        </w:rPr>
        <w:t>Eichengreen, B., Park, D., &amp; Shin, K. (2024). Economic resilience: Why some countries recover more robustly than others from shocks. Economic Modelling, 136, 106748. https://doi.org/10.1016/j.econmod.2024.106748</w:t>
      </w:r>
    </w:p>
    <w:p w14:paraId="2BD89419" w14:textId="77777777" w:rsidR="00A72A5D" w:rsidRPr="000121EC" w:rsidRDefault="00A72A5D" w:rsidP="00F50C96">
      <w:pPr>
        <w:spacing w:after="0" w:line="360" w:lineRule="auto"/>
        <w:ind w:left="990" w:hanging="270"/>
        <w:jc w:val="both"/>
        <w:rPr>
          <w:rFonts w:cs="Arial"/>
          <w:szCs w:val="21"/>
        </w:rPr>
      </w:pPr>
      <w:r w:rsidRPr="000121EC">
        <w:rPr>
          <w:rFonts w:cs="Arial"/>
          <w:szCs w:val="21"/>
        </w:rPr>
        <w:lastRenderedPageBreak/>
        <w:t>European Commission. European Economic Forecast, Spring and Autumn vintages, 2011–2025.</w:t>
      </w:r>
    </w:p>
    <w:p w14:paraId="2EB63D74" w14:textId="77777777" w:rsidR="00A72A5D" w:rsidRPr="000121EC" w:rsidRDefault="00A72A5D" w:rsidP="00F50C96">
      <w:pPr>
        <w:spacing w:after="0" w:line="360" w:lineRule="auto"/>
        <w:ind w:left="990" w:hanging="270"/>
        <w:jc w:val="both"/>
        <w:rPr>
          <w:rFonts w:cs="Arial"/>
          <w:szCs w:val="21"/>
        </w:rPr>
      </w:pPr>
      <w:r w:rsidRPr="000121EC">
        <w:rPr>
          <w:rFonts w:cs="Arial"/>
          <w:szCs w:val="21"/>
        </w:rPr>
        <w:t>European Commission. EU State Aid Scoreboard.</w:t>
      </w:r>
    </w:p>
    <w:p w14:paraId="206051BA" w14:textId="77777777" w:rsidR="00A72A5D" w:rsidRPr="000121EC" w:rsidRDefault="00A72A5D" w:rsidP="00F50C96">
      <w:pPr>
        <w:spacing w:after="0" w:line="360" w:lineRule="auto"/>
        <w:ind w:left="990" w:hanging="270"/>
        <w:jc w:val="both"/>
        <w:rPr>
          <w:rFonts w:cs="Arial"/>
          <w:szCs w:val="21"/>
        </w:rPr>
      </w:pPr>
      <w:r w:rsidRPr="000121EC">
        <w:rPr>
          <w:rFonts w:cs="Arial"/>
          <w:szCs w:val="21"/>
        </w:rPr>
        <w:t xml:space="preserve">Eurostat. Gross fixed capital formation, nominal GDP and </w:t>
      </w:r>
      <w:proofErr w:type="spellStart"/>
      <w:r w:rsidRPr="000121EC">
        <w:rPr>
          <w:rFonts w:cs="Arial"/>
          <w:szCs w:val="21"/>
        </w:rPr>
        <w:t>Comext</w:t>
      </w:r>
      <w:proofErr w:type="spellEnd"/>
      <w:r w:rsidRPr="000121EC">
        <w:rPr>
          <w:rFonts w:cs="Arial"/>
          <w:szCs w:val="21"/>
        </w:rPr>
        <w:t xml:space="preserve"> international trade in goods databases.</w:t>
      </w:r>
    </w:p>
    <w:p w14:paraId="2A2C0418" w14:textId="77777777" w:rsidR="00A72A5D" w:rsidRPr="000121EC" w:rsidRDefault="00A72A5D" w:rsidP="00F50C96">
      <w:pPr>
        <w:spacing w:after="0" w:line="360" w:lineRule="auto"/>
        <w:ind w:left="990" w:hanging="270"/>
        <w:jc w:val="both"/>
        <w:rPr>
          <w:rFonts w:cs="Arial"/>
          <w:szCs w:val="21"/>
        </w:rPr>
      </w:pPr>
      <w:r w:rsidRPr="000121EC">
        <w:rPr>
          <w:rFonts w:cs="Arial"/>
          <w:szCs w:val="21"/>
        </w:rPr>
        <w:t xml:space="preserve">Hill, E. W., </w:t>
      </w:r>
      <w:proofErr w:type="spellStart"/>
      <w:r w:rsidRPr="000121EC">
        <w:rPr>
          <w:rFonts w:cs="Arial"/>
          <w:szCs w:val="21"/>
        </w:rPr>
        <w:t>Wial</w:t>
      </w:r>
      <w:proofErr w:type="spellEnd"/>
      <w:r w:rsidRPr="000121EC">
        <w:rPr>
          <w:rFonts w:cs="Arial"/>
          <w:szCs w:val="21"/>
        </w:rPr>
        <w:t>, H., &amp; Wolman, H. (2008). Exploring regional economic resilience. Institute of Urban and Regional Development Working Paper 2008-04.</w:t>
      </w:r>
    </w:p>
    <w:p w14:paraId="75A5D70B" w14:textId="77777777" w:rsidR="00A72A5D" w:rsidRPr="000121EC" w:rsidRDefault="00A72A5D" w:rsidP="00F50C96">
      <w:pPr>
        <w:spacing w:after="0" w:line="360" w:lineRule="auto"/>
        <w:ind w:left="990" w:hanging="270"/>
        <w:jc w:val="both"/>
        <w:rPr>
          <w:rFonts w:cs="Arial"/>
          <w:szCs w:val="21"/>
        </w:rPr>
      </w:pPr>
      <w:r w:rsidRPr="000121EC">
        <w:rPr>
          <w:rFonts w:cs="Arial"/>
          <w:szCs w:val="21"/>
        </w:rPr>
        <w:t xml:space="preserve">Mundlak, Y. (1978). On the pooling of time series and cross section data. </w:t>
      </w:r>
      <w:proofErr w:type="spellStart"/>
      <w:r w:rsidRPr="000121EC">
        <w:rPr>
          <w:rFonts w:cs="Arial"/>
          <w:szCs w:val="21"/>
        </w:rPr>
        <w:t>Econometrica</w:t>
      </w:r>
      <w:proofErr w:type="spellEnd"/>
      <w:r w:rsidRPr="000121EC">
        <w:rPr>
          <w:rFonts w:cs="Arial"/>
          <w:szCs w:val="21"/>
        </w:rPr>
        <w:t>, 46(1), 69–85. https://doi.org/10.2307/1913646</w:t>
      </w:r>
    </w:p>
    <w:p w14:paraId="7637C863" w14:textId="77777777" w:rsidR="00A72A5D" w:rsidRPr="000121EC" w:rsidRDefault="00A72A5D" w:rsidP="00F50C96">
      <w:pPr>
        <w:spacing w:after="0" w:line="360" w:lineRule="auto"/>
        <w:ind w:left="990" w:hanging="270"/>
        <w:jc w:val="both"/>
        <w:rPr>
          <w:rFonts w:cs="Arial"/>
          <w:szCs w:val="21"/>
        </w:rPr>
      </w:pPr>
      <w:r w:rsidRPr="000121EC">
        <w:rPr>
          <w:rFonts w:cs="Arial"/>
          <w:szCs w:val="21"/>
        </w:rPr>
        <w:t>Papaioannou, S. K. (2023). ICT and economic resilience: Evidence from the COVID-19 pandemic. Economic Modelling, 128, 106500. https://doi.org/10.1016/j.econmod.2023.106500</w:t>
      </w:r>
    </w:p>
    <w:p w14:paraId="550F86DC" w14:textId="77777777" w:rsidR="00A72A5D" w:rsidRPr="000121EC" w:rsidRDefault="00A72A5D" w:rsidP="00F50C96">
      <w:pPr>
        <w:spacing w:after="0" w:line="360" w:lineRule="auto"/>
        <w:ind w:left="990" w:hanging="270"/>
        <w:jc w:val="both"/>
        <w:rPr>
          <w:rFonts w:cs="Arial"/>
          <w:szCs w:val="21"/>
        </w:rPr>
      </w:pPr>
      <w:r w:rsidRPr="000121EC">
        <w:rPr>
          <w:rFonts w:cs="Arial"/>
          <w:szCs w:val="21"/>
        </w:rPr>
        <w:t>Wooldridge, J. M. (2019). Correlated random effects models with unbalanced panels. Journal of Econometrics, 211(1), 137–150. https://doi.org/10.1016/j.jeconom.2018.12.010</w:t>
      </w:r>
    </w:p>
    <w:p w14:paraId="4FB57A5E" w14:textId="77777777" w:rsidR="00A72A5D" w:rsidRPr="000121EC" w:rsidRDefault="00A72A5D" w:rsidP="00F50C96">
      <w:pPr>
        <w:spacing w:after="0" w:line="360" w:lineRule="auto"/>
        <w:ind w:left="990" w:hanging="270"/>
        <w:jc w:val="both"/>
        <w:rPr>
          <w:rFonts w:cs="Arial"/>
          <w:szCs w:val="21"/>
        </w:rPr>
      </w:pPr>
      <w:r w:rsidRPr="000121EC">
        <w:rPr>
          <w:rFonts w:cs="Arial"/>
          <w:szCs w:val="21"/>
        </w:rPr>
        <w:t>World Bank. World Development Indicators: Trade openness.</w:t>
      </w:r>
    </w:p>
    <w:p w14:paraId="002436D4" w14:textId="3484C087" w:rsidR="00A72A5D" w:rsidRPr="000121EC" w:rsidRDefault="00A72A5D" w:rsidP="00F50C96">
      <w:pPr>
        <w:spacing w:after="0" w:line="360" w:lineRule="auto"/>
        <w:ind w:left="990" w:hanging="270"/>
        <w:jc w:val="both"/>
        <w:rPr>
          <w:rFonts w:cs="Arial"/>
          <w:szCs w:val="21"/>
        </w:rPr>
      </w:pPr>
      <w:r w:rsidRPr="000121EC">
        <w:rPr>
          <w:rFonts w:cs="Arial"/>
          <w:szCs w:val="21"/>
        </w:rPr>
        <w:t>Yan, A., Ma, H., Zhu, D., &amp; Xie, J. (2024). Digital transformation and corporate resilience: Evidence from China during the COVID-19 pandemic. Quantitative Finance and Economics, 8(4), 779–814. https://doi.org/10.3934/QFE.2024030</w:t>
      </w:r>
      <w:r w:rsidR="00236AE5" w:rsidRPr="000121EC">
        <w:rPr>
          <w:rFonts w:cs="Arial"/>
          <w:szCs w:val="21"/>
        </w:rPr>
        <w:t>.</w:t>
      </w:r>
    </w:p>
    <w:p w14:paraId="1CC09460" w14:textId="77777777" w:rsidR="00A72A5D" w:rsidRPr="000121EC" w:rsidRDefault="00A72A5D" w:rsidP="00F50C96">
      <w:pPr>
        <w:pStyle w:val="ListBullet"/>
        <w:numPr>
          <w:ilvl w:val="0"/>
          <w:numId w:val="0"/>
        </w:numPr>
        <w:spacing w:after="0" w:line="360" w:lineRule="auto"/>
        <w:ind w:left="720"/>
        <w:jc w:val="both"/>
        <w:rPr>
          <w:rFonts w:cs="Arial"/>
          <w:szCs w:val="21"/>
        </w:rPr>
      </w:pPr>
    </w:p>
    <w:p w14:paraId="1465BA34" w14:textId="77777777" w:rsidR="00A72A5D" w:rsidRPr="000121EC" w:rsidRDefault="00A72A5D" w:rsidP="00F50C96">
      <w:pPr>
        <w:pStyle w:val="ListBullet"/>
        <w:numPr>
          <w:ilvl w:val="0"/>
          <w:numId w:val="0"/>
        </w:numPr>
        <w:spacing w:after="0" w:line="360" w:lineRule="auto"/>
        <w:ind w:left="720"/>
        <w:jc w:val="both"/>
        <w:rPr>
          <w:rFonts w:cs="Arial"/>
          <w:szCs w:val="21"/>
        </w:rPr>
      </w:pPr>
    </w:p>
    <w:p w14:paraId="551EB210" w14:textId="12A2EF4F" w:rsidR="008942F8" w:rsidRPr="000121EC" w:rsidRDefault="002F7A2B" w:rsidP="00F50C96">
      <w:pPr>
        <w:pStyle w:val="Heading1"/>
        <w:spacing w:before="0" w:after="0" w:line="360" w:lineRule="auto"/>
        <w:ind w:left="720"/>
        <w:jc w:val="both"/>
        <w:rPr>
          <w:rFonts w:ascii="Arial" w:hAnsi="Arial" w:cs="Arial"/>
          <w:color w:val="auto"/>
          <w:sz w:val="21"/>
          <w:szCs w:val="21"/>
        </w:rPr>
      </w:pPr>
      <w:r w:rsidRPr="000121EC">
        <w:rPr>
          <w:rFonts w:ascii="Arial" w:hAnsi="Arial" w:cs="Arial"/>
          <w:color w:val="auto"/>
          <w:sz w:val="21"/>
          <w:szCs w:val="21"/>
        </w:rPr>
        <w:t>Annex A. Variable construction</w:t>
      </w:r>
    </w:p>
    <w:p w14:paraId="15A1F62B" w14:textId="414A7617" w:rsidR="008942F8" w:rsidRPr="000121EC" w:rsidRDefault="002F7A2B" w:rsidP="00F50C96">
      <w:pPr>
        <w:spacing w:after="0" w:line="360" w:lineRule="auto"/>
        <w:ind w:left="720"/>
        <w:jc w:val="both"/>
        <w:rPr>
          <w:rFonts w:cs="Arial"/>
          <w:szCs w:val="21"/>
        </w:rPr>
      </w:pPr>
      <w:r w:rsidRPr="000121EC">
        <w:rPr>
          <w:rFonts w:cs="Arial"/>
          <w:szCs w:val="21"/>
        </w:rPr>
        <w:t>Table A1 re</w:t>
      </w:r>
      <w:r w:rsidR="004516C6">
        <w:rPr>
          <w:rFonts w:cs="Arial"/>
          <w:szCs w:val="21"/>
        </w:rPr>
        <w:t>ports</w:t>
      </w:r>
      <w:r w:rsidRPr="000121EC">
        <w:rPr>
          <w:rFonts w:cs="Arial"/>
          <w:szCs w:val="21"/>
        </w:rPr>
        <w:t xml:space="preserve"> how each variable is constructed and its source. The column </w:t>
      </w:r>
      <w:r w:rsidR="00C90EA5">
        <w:rPr>
          <w:rFonts w:cs="Arial"/>
          <w:szCs w:val="21"/>
        </w:rPr>
        <w:t xml:space="preserve">timing </w:t>
      </w:r>
      <w:r w:rsidR="00424BA6">
        <w:rPr>
          <w:rFonts w:cs="Arial"/>
          <w:szCs w:val="21"/>
        </w:rPr>
        <w:t xml:space="preserve">reports that in the regressions </w:t>
      </w:r>
      <w:r w:rsidR="00A00DCD">
        <w:rPr>
          <w:rFonts w:cs="Arial"/>
          <w:szCs w:val="21"/>
        </w:rPr>
        <w:t>the</w:t>
      </w:r>
      <w:r w:rsidRPr="000121EC">
        <w:rPr>
          <w:rFonts w:cs="Arial"/>
          <w:szCs w:val="21"/>
        </w:rPr>
        <w:t xml:space="preserve"> ICT/AI exposure</w:t>
      </w:r>
      <w:r w:rsidR="00A00DCD">
        <w:rPr>
          <w:rFonts w:cs="Arial"/>
          <w:szCs w:val="21"/>
        </w:rPr>
        <w:t xml:space="preserve"> variables</w:t>
      </w:r>
      <w:r w:rsidRPr="000121EC">
        <w:rPr>
          <w:rFonts w:cs="Arial"/>
          <w:szCs w:val="21"/>
        </w:rPr>
        <w:t xml:space="preserve"> and trade openness are lagged by one period, while state aid is measured in the target year and divided by lagged GDP.</w:t>
      </w:r>
    </w:p>
    <w:p w14:paraId="2F9E5B8C" w14:textId="77777777" w:rsidR="00CE2F25" w:rsidRDefault="00CE2F25" w:rsidP="00F50C96">
      <w:pPr>
        <w:pStyle w:val="Caption"/>
        <w:spacing w:before="0" w:after="0" w:line="360" w:lineRule="auto"/>
        <w:ind w:left="720"/>
        <w:jc w:val="both"/>
        <w:rPr>
          <w:rFonts w:cs="Arial"/>
          <w:color w:val="auto"/>
          <w:sz w:val="21"/>
          <w:szCs w:val="21"/>
        </w:rPr>
      </w:pPr>
    </w:p>
    <w:p w14:paraId="6A7F0922" w14:textId="77777777" w:rsidR="006A09EE" w:rsidRPr="006A09EE" w:rsidRDefault="006A09EE" w:rsidP="006A09EE"/>
    <w:p w14:paraId="016D87BF" w14:textId="405FA088" w:rsidR="008942F8" w:rsidRDefault="002F7A2B" w:rsidP="004B5DB3">
      <w:pPr>
        <w:pStyle w:val="Caption"/>
        <w:spacing w:before="0" w:after="0"/>
        <w:ind w:left="720"/>
        <w:jc w:val="both"/>
        <w:rPr>
          <w:rFonts w:cs="Arial"/>
          <w:color w:val="auto"/>
          <w:sz w:val="21"/>
          <w:szCs w:val="21"/>
        </w:rPr>
      </w:pPr>
      <w:r w:rsidRPr="000121EC">
        <w:rPr>
          <w:rFonts w:cs="Arial"/>
          <w:color w:val="auto"/>
          <w:sz w:val="21"/>
          <w:szCs w:val="21"/>
        </w:rPr>
        <w:t>Table A1. Variables, construction, timing, and sources</w:t>
      </w:r>
    </w:p>
    <w:p w14:paraId="0658CAAE" w14:textId="77777777" w:rsidR="005A3120" w:rsidRPr="005A3120" w:rsidRDefault="005A3120" w:rsidP="005A3120"/>
    <w:tbl>
      <w:tblPr>
        <w:tblW w:w="0" w:type="auto"/>
        <w:jc w:val="center"/>
        <w:tblBorders>
          <w:top w:val="single" w:sz="4" w:space="0" w:color="000000"/>
          <w:left w:val="nil"/>
          <w:bottom w:val="single" w:sz="4" w:space="0" w:color="000000"/>
          <w:right w:val="nil"/>
          <w:insideH w:val="single" w:sz="4" w:space="0" w:color="000000"/>
          <w:insideV w:val="nil"/>
        </w:tblBorders>
        <w:tblLayout w:type="fixed"/>
        <w:tblLook w:val="04A0" w:firstRow="1" w:lastRow="0" w:firstColumn="1" w:lastColumn="0" w:noHBand="0" w:noVBand="1"/>
      </w:tblPr>
      <w:tblGrid>
        <w:gridCol w:w="2044"/>
        <w:gridCol w:w="3888"/>
        <w:gridCol w:w="1944"/>
        <w:gridCol w:w="1843"/>
      </w:tblGrid>
      <w:tr w:rsidR="008942F8" w:rsidRPr="000121EC" w14:paraId="00DC2CC6" w14:textId="77777777">
        <w:trPr>
          <w:cantSplit/>
          <w:tblHeader/>
          <w:jc w:val="center"/>
        </w:trPr>
        <w:tc>
          <w:tcPr>
            <w:tcW w:w="2044" w:type="dxa"/>
            <w:tcMar>
              <w:top w:w="70" w:type="dxa"/>
              <w:left w:w="85" w:type="dxa"/>
              <w:bottom w:w="70" w:type="dxa"/>
              <w:right w:w="85" w:type="dxa"/>
            </w:tcMar>
            <w:vAlign w:val="center"/>
          </w:tcPr>
          <w:p w14:paraId="7EDA5C0C" w14:textId="77777777" w:rsidR="009471EF" w:rsidRPr="000121EC" w:rsidRDefault="000723C2" w:rsidP="004B5DB3">
            <w:pPr>
              <w:spacing w:after="0" w:line="240" w:lineRule="auto"/>
              <w:rPr>
                <w:rFonts w:cs="Arial"/>
                <w:szCs w:val="21"/>
              </w:rPr>
            </w:pPr>
            <w:r w:rsidRPr="000121EC">
              <w:rPr>
                <w:rFonts w:cs="Arial"/>
                <w:b/>
                <w:szCs w:val="21"/>
              </w:rPr>
              <w:t>Variable</w:t>
            </w:r>
          </w:p>
        </w:tc>
        <w:tc>
          <w:tcPr>
            <w:tcW w:w="3888" w:type="dxa"/>
            <w:tcMar>
              <w:top w:w="70" w:type="dxa"/>
              <w:left w:w="85" w:type="dxa"/>
              <w:bottom w:w="70" w:type="dxa"/>
              <w:right w:w="85" w:type="dxa"/>
            </w:tcMar>
            <w:vAlign w:val="center"/>
          </w:tcPr>
          <w:p w14:paraId="1A0A3C29" w14:textId="77777777" w:rsidR="009471EF" w:rsidRPr="000121EC" w:rsidRDefault="000723C2" w:rsidP="004B5DB3">
            <w:pPr>
              <w:spacing w:after="0" w:line="240" w:lineRule="auto"/>
              <w:rPr>
                <w:rFonts w:cs="Arial"/>
                <w:szCs w:val="21"/>
              </w:rPr>
            </w:pPr>
            <w:r w:rsidRPr="000121EC">
              <w:rPr>
                <w:rFonts w:cs="Arial"/>
                <w:b/>
                <w:szCs w:val="21"/>
              </w:rPr>
              <w:t>Construction</w:t>
            </w:r>
          </w:p>
        </w:tc>
        <w:tc>
          <w:tcPr>
            <w:tcW w:w="1944" w:type="dxa"/>
            <w:tcMar>
              <w:top w:w="70" w:type="dxa"/>
              <w:left w:w="85" w:type="dxa"/>
              <w:bottom w:w="70" w:type="dxa"/>
              <w:right w:w="85" w:type="dxa"/>
            </w:tcMar>
            <w:vAlign w:val="center"/>
          </w:tcPr>
          <w:p w14:paraId="15B2B7DB" w14:textId="77777777" w:rsidR="009471EF" w:rsidRPr="000121EC" w:rsidRDefault="000723C2" w:rsidP="004B5DB3">
            <w:pPr>
              <w:spacing w:after="0" w:line="240" w:lineRule="auto"/>
              <w:rPr>
                <w:rFonts w:cs="Arial"/>
                <w:szCs w:val="21"/>
              </w:rPr>
            </w:pPr>
            <w:r w:rsidRPr="000121EC">
              <w:rPr>
                <w:rFonts w:cs="Arial"/>
                <w:b/>
                <w:szCs w:val="21"/>
              </w:rPr>
              <w:t>Timing</w:t>
            </w:r>
          </w:p>
        </w:tc>
        <w:tc>
          <w:tcPr>
            <w:tcW w:w="1843" w:type="dxa"/>
            <w:tcMar>
              <w:top w:w="70" w:type="dxa"/>
              <w:left w:w="85" w:type="dxa"/>
              <w:bottom w:w="70" w:type="dxa"/>
              <w:right w:w="85" w:type="dxa"/>
            </w:tcMar>
            <w:vAlign w:val="center"/>
          </w:tcPr>
          <w:p w14:paraId="04440090" w14:textId="77777777" w:rsidR="009471EF" w:rsidRPr="000121EC" w:rsidRDefault="000723C2" w:rsidP="004B5DB3">
            <w:pPr>
              <w:spacing w:after="0" w:line="240" w:lineRule="auto"/>
              <w:rPr>
                <w:rFonts w:cs="Arial"/>
                <w:szCs w:val="21"/>
              </w:rPr>
            </w:pPr>
            <w:r w:rsidRPr="000121EC">
              <w:rPr>
                <w:rFonts w:cs="Arial"/>
                <w:b/>
                <w:szCs w:val="21"/>
              </w:rPr>
              <w:t>Source</w:t>
            </w:r>
          </w:p>
        </w:tc>
      </w:tr>
      <w:tr w:rsidR="008942F8" w:rsidRPr="000121EC" w14:paraId="26A846CD" w14:textId="77777777">
        <w:trPr>
          <w:cantSplit/>
          <w:jc w:val="center"/>
        </w:trPr>
        <w:tc>
          <w:tcPr>
            <w:tcW w:w="2044" w:type="dxa"/>
            <w:tcMar>
              <w:top w:w="70" w:type="dxa"/>
              <w:left w:w="85" w:type="dxa"/>
              <w:bottom w:w="70" w:type="dxa"/>
              <w:right w:w="85" w:type="dxa"/>
            </w:tcMar>
            <w:vAlign w:val="center"/>
          </w:tcPr>
          <w:p w14:paraId="3FD64A09" w14:textId="77777777" w:rsidR="009471EF" w:rsidRPr="000121EC" w:rsidRDefault="000723C2" w:rsidP="004B5DB3">
            <w:pPr>
              <w:spacing w:after="0" w:line="240" w:lineRule="auto"/>
              <w:rPr>
                <w:rFonts w:cs="Arial"/>
                <w:szCs w:val="21"/>
              </w:rPr>
            </w:pPr>
            <w:r w:rsidRPr="000121EC">
              <w:rPr>
                <w:rFonts w:cs="Arial"/>
                <w:szCs w:val="21"/>
              </w:rPr>
              <w:t>Positive growth surprise</w:t>
            </w:r>
          </w:p>
        </w:tc>
        <w:tc>
          <w:tcPr>
            <w:tcW w:w="3888" w:type="dxa"/>
            <w:tcMar>
              <w:top w:w="70" w:type="dxa"/>
              <w:left w:w="85" w:type="dxa"/>
              <w:bottom w:w="70" w:type="dxa"/>
              <w:right w:w="85" w:type="dxa"/>
            </w:tcMar>
            <w:vAlign w:val="center"/>
          </w:tcPr>
          <w:p w14:paraId="1AE31E2D" w14:textId="77777777" w:rsidR="009471EF" w:rsidRPr="000121EC" w:rsidRDefault="000723C2" w:rsidP="004B5DB3">
            <w:pPr>
              <w:spacing w:after="0" w:line="240" w:lineRule="auto"/>
              <w:rPr>
                <w:rFonts w:cs="Arial"/>
                <w:szCs w:val="21"/>
              </w:rPr>
            </w:pPr>
            <w:r w:rsidRPr="000121EC">
              <w:rPr>
                <w:rFonts w:cs="Arial"/>
                <w:szCs w:val="21"/>
              </w:rPr>
              <w:t>Indicator equal to one when realised annual real GDP growth exceeds the corresponding European Commission forecast.</w:t>
            </w:r>
          </w:p>
        </w:tc>
        <w:tc>
          <w:tcPr>
            <w:tcW w:w="1944" w:type="dxa"/>
            <w:tcMar>
              <w:top w:w="70" w:type="dxa"/>
              <w:left w:w="85" w:type="dxa"/>
              <w:bottom w:w="70" w:type="dxa"/>
              <w:right w:w="85" w:type="dxa"/>
            </w:tcMar>
            <w:vAlign w:val="center"/>
          </w:tcPr>
          <w:p w14:paraId="16097533" w14:textId="77777777" w:rsidR="009471EF" w:rsidRPr="000121EC" w:rsidRDefault="000723C2" w:rsidP="004B5DB3">
            <w:pPr>
              <w:spacing w:after="0" w:line="240" w:lineRule="auto"/>
              <w:rPr>
                <w:rFonts w:cs="Arial"/>
                <w:szCs w:val="21"/>
              </w:rPr>
            </w:pPr>
            <w:r w:rsidRPr="000121EC">
              <w:rPr>
                <w:rFonts w:cs="Arial"/>
                <w:szCs w:val="21"/>
              </w:rPr>
              <w:t>Target year t; Spring and Autumn vintages for t and t+1</w:t>
            </w:r>
          </w:p>
        </w:tc>
        <w:tc>
          <w:tcPr>
            <w:tcW w:w="1843" w:type="dxa"/>
            <w:tcMar>
              <w:top w:w="70" w:type="dxa"/>
              <w:left w:w="85" w:type="dxa"/>
              <w:bottom w:w="70" w:type="dxa"/>
              <w:right w:w="85" w:type="dxa"/>
            </w:tcMar>
            <w:vAlign w:val="center"/>
          </w:tcPr>
          <w:p w14:paraId="03E1D8A2" w14:textId="77777777" w:rsidR="009471EF" w:rsidRPr="000121EC" w:rsidRDefault="000723C2" w:rsidP="004B5DB3">
            <w:pPr>
              <w:spacing w:after="0" w:line="240" w:lineRule="auto"/>
              <w:rPr>
                <w:rFonts w:cs="Arial"/>
                <w:szCs w:val="21"/>
              </w:rPr>
            </w:pPr>
            <w:r w:rsidRPr="000121EC">
              <w:rPr>
                <w:rFonts w:cs="Arial"/>
                <w:szCs w:val="21"/>
              </w:rPr>
              <w:t>European Commission forecasts and outturns</w:t>
            </w:r>
          </w:p>
        </w:tc>
      </w:tr>
      <w:tr w:rsidR="008942F8" w:rsidRPr="000121EC" w14:paraId="4D677AB7" w14:textId="77777777">
        <w:trPr>
          <w:cantSplit/>
          <w:jc w:val="center"/>
        </w:trPr>
        <w:tc>
          <w:tcPr>
            <w:tcW w:w="2044" w:type="dxa"/>
            <w:tcMar>
              <w:top w:w="70" w:type="dxa"/>
              <w:left w:w="85" w:type="dxa"/>
              <w:bottom w:w="70" w:type="dxa"/>
              <w:right w:w="85" w:type="dxa"/>
            </w:tcMar>
            <w:vAlign w:val="center"/>
          </w:tcPr>
          <w:p w14:paraId="0A406DAF" w14:textId="77777777" w:rsidR="009471EF" w:rsidRPr="000121EC" w:rsidRDefault="000723C2" w:rsidP="004B5DB3">
            <w:pPr>
              <w:spacing w:after="0" w:line="240" w:lineRule="auto"/>
              <w:rPr>
                <w:rFonts w:cs="Arial"/>
                <w:szCs w:val="21"/>
              </w:rPr>
            </w:pPr>
            <w:r w:rsidRPr="000121EC">
              <w:rPr>
                <w:rFonts w:cs="Arial"/>
                <w:szCs w:val="21"/>
              </w:rPr>
              <w:t>ICT/AI-related investment</w:t>
            </w:r>
          </w:p>
        </w:tc>
        <w:tc>
          <w:tcPr>
            <w:tcW w:w="3888" w:type="dxa"/>
            <w:tcMar>
              <w:top w:w="70" w:type="dxa"/>
              <w:left w:w="85" w:type="dxa"/>
              <w:bottom w:w="70" w:type="dxa"/>
              <w:right w:w="85" w:type="dxa"/>
            </w:tcMar>
            <w:vAlign w:val="center"/>
          </w:tcPr>
          <w:p w14:paraId="64BC9A34" w14:textId="77777777" w:rsidR="009471EF" w:rsidRPr="000121EC" w:rsidRDefault="000723C2" w:rsidP="004B5DB3">
            <w:pPr>
              <w:spacing w:after="0" w:line="240" w:lineRule="auto"/>
              <w:rPr>
                <w:rFonts w:cs="Arial"/>
                <w:szCs w:val="21"/>
              </w:rPr>
            </w:pPr>
            <w:r w:rsidRPr="000121EC">
              <w:rPr>
                <w:rFonts w:cs="Arial"/>
                <w:szCs w:val="21"/>
              </w:rPr>
              <w:t>Share of selected ICT- and AI-related asset/industry investment in total gross fixed capital formation.</w:t>
            </w:r>
          </w:p>
        </w:tc>
        <w:tc>
          <w:tcPr>
            <w:tcW w:w="1944" w:type="dxa"/>
            <w:tcMar>
              <w:top w:w="70" w:type="dxa"/>
              <w:left w:w="85" w:type="dxa"/>
              <w:bottom w:w="70" w:type="dxa"/>
              <w:right w:w="85" w:type="dxa"/>
            </w:tcMar>
            <w:vAlign w:val="center"/>
          </w:tcPr>
          <w:p w14:paraId="3274AF9B" w14:textId="77777777" w:rsidR="009471EF" w:rsidRPr="000121EC" w:rsidRDefault="000723C2" w:rsidP="004B5DB3">
            <w:pPr>
              <w:spacing w:after="0" w:line="240" w:lineRule="auto"/>
              <w:rPr>
                <w:rFonts w:cs="Arial"/>
                <w:szCs w:val="21"/>
              </w:rPr>
            </w:pPr>
            <w:r w:rsidRPr="000121EC">
              <w:rPr>
                <w:rFonts w:cs="Arial"/>
                <w:szCs w:val="21"/>
              </w:rPr>
              <w:t>t−1; 2024 carried forward when 2025 is unavailable</w:t>
            </w:r>
          </w:p>
        </w:tc>
        <w:tc>
          <w:tcPr>
            <w:tcW w:w="1843" w:type="dxa"/>
            <w:tcMar>
              <w:top w:w="70" w:type="dxa"/>
              <w:left w:w="85" w:type="dxa"/>
              <w:bottom w:w="70" w:type="dxa"/>
              <w:right w:w="85" w:type="dxa"/>
            </w:tcMar>
            <w:vAlign w:val="center"/>
          </w:tcPr>
          <w:p w14:paraId="4181AAAB" w14:textId="77777777" w:rsidR="009471EF" w:rsidRPr="000121EC" w:rsidRDefault="000723C2" w:rsidP="004B5DB3">
            <w:pPr>
              <w:spacing w:after="0" w:line="240" w:lineRule="auto"/>
              <w:rPr>
                <w:rFonts w:cs="Arial"/>
                <w:szCs w:val="21"/>
              </w:rPr>
            </w:pPr>
            <w:r w:rsidRPr="000121EC">
              <w:rPr>
                <w:rFonts w:cs="Arial"/>
                <w:szCs w:val="21"/>
              </w:rPr>
              <w:t>Eurostat</w:t>
            </w:r>
          </w:p>
        </w:tc>
      </w:tr>
      <w:tr w:rsidR="008942F8" w:rsidRPr="000121EC" w14:paraId="17F20D98" w14:textId="77777777">
        <w:trPr>
          <w:cantSplit/>
          <w:jc w:val="center"/>
        </w:trPr>
        <w:tc>
          <w:tcPr>
            <w:tcW w:w="2044" w:type="dxa"/>
            <w:tcMar>
              <w:top w:w="70" w:type="dxa"/>
              <w:left w:w="85" w:type="dxa"/>
              <w:bottom w:w="70" w:type="dxa"/>
              <w:right w:w="85" w:type="dxa"/>
            </w:tcMar>
            <w:vAlign w:val="center"/>
          </w:tcPr>
          <w:p w14:paraId="267D4866" w14:textId="77777777" w:rsidR="009471EF" w:rsidRPr="000121EC" w:rsidRDefault="000723C2" w:rsidP="004B5DB3">
            <w:pPr>
              <w:spacing w:after="0" w:line="240" w:lineRule="auto"/>
              <w:rPr>
                <w:rFonts w:cs="Arial"/>
                <w:szCs w:val="21"/>
              </w:rPr>
            </w:pPr>
            <w:r w:rsidRPr="000121EC">
              <w:rPr>
                <w:rFonts w:cs="Arial"/>
                <w:szCs w:val="21"/>
              </w:rPr>
              <w:lastRenderedPageBreak/>
              <w:t>AI equity investment</w:t>
            </w:r>
          </w:p>
        </w:tc>
        <w:tc>
          <w:tcPr>
            <w:tcW w:w="3888" w:type="dxa"/>
            <w:tcMar>
              <w:top w:w="70" w:type="dxa"/>
              <w:left w:w="85" w:type="dxa"/>
              <w:bottom w:w="70" w:type="dxa"/>
              <w:right w:w="85" w:type="dxa"/>
            </w:tcMar>
            <w:vAlign w:val="center"/>
          </w:tcPr>
          <w:p w14:paraId="2F4F4893" w14:textId="77777777" w:rsidR="009471EF" w:rsidRPr="000121EC" w:rsidRDefault="000723C2" w:rsidP="004B5DB3">
            <w:pPr>
              <w:spacing w:after="0" w:line="240" w:lineRule="auto"/>
              <w:rPr>
                <w:rFonts w:cs="Arial"/>
                <w:szCs w:val="21"/>
              </w:rPr>
            </w:pPr>
            <w:r w:rsidRPr="000121EC">
              <w:rPr>
                <w:rFonts w:cs="Arial"/>
                <w:szCs w:val="21"/>
              </w:rPr>
              <w:t>Incoming equity-investment counts in AI-related fields, scaled by GDP.</w:t>
            </w:r>
          </w:p>
        </w:tc>
        <w:tc>
          <w:tcPr>
            <w:tcW w:w="1944" w:type="dxa"/>
            <w:tcMar>
              <w:top w:w="70" w:type="dxa"/>
              <w:left w:w="85" w:type="dxa"/>
              <w:bottom w:w="70" w:type="dxa"/>
              <w:right w:w="85" w:type="dxa"/>
            </w:tcMar>
            <w:vAlign w:val="center"/>
          </w:tcPr>
          <w:p w14:paraId="0F9FE8E0" w14:textId="77777777" w:rsidR="009471EF" w:rsidRPr="000121EC" w:rsidRDefault="000723C2" w:rsidP="004B5DB3">
            <w:pPr>
              <w:spacing w:after="0" w:line="240" w:lineRule="auto"/>
              <w:rPr>
                <w:rFonts w:cs="Arial"/>
                <w:szCs w:val="21"/>
              </w:rPr>
            </w:pPr>
            <w:r w:rsidRPr="000121EC">
              <w:rPr>
                <w:rFonts w:cs="Arial"/>
                <w:szCs w:val="21"/>
              </w:rPr>
              <w:t>t−1</w:t>
            </w:r>
          </w:p>
        </w:tc>
        <w:tc>
          <w:tcPr>
            <w:tcW w:w="1843" w:type="dxa"/>
            <w:tcMar>
              <w:top w:w="70" w:type="dxa"/>
              <w:left w:w="85" w:type="dxa"/>
              <w:bottom w:w="70" w:type="dxa"/>
              <w:right w:w="85" w:type="dxa"/>
            </w:tcMar>
            <w:vAlign w:val="center"/>
          </w:tcPr>
          <w:p w14:paraId="04B59911" w14:textId="77777777" w:rsidR="009471EF" w:rsidRPr="000121EC" w:rsidRDefault="000723C2" w:rsidP="004B5DB3">
            <w:pPr>
              <w:spacing w:after="0" w:line="240" w:lineRule="auto"/>
              <w:rPr>
                <w:rFonts w:cs="Arial"/>
                <w:szCs w:val="21"/>
              </w:rPr>
            </w:pPr>
            <w:r w:rsidRPr="000121EC">
              <w:rPr>
                <w:rFonts w:cs="Arial"/>
                <w:szCs w:val="21"/>
              </w:rPr>
              <w:t>Emerging Technology Observatory, Country Activity Tracker; GDP data</w:t>
            </w:r>
          </w:p>
        </w:tc>
      </w:tr>
      <w:tr w:rsidR="008942F8" w:rsidRPr="000121EC" w14:paraId="2ACBE074" w14:textId="77777777">
        <w:trPr>
          <w:cantSplit/>
          <w:jc w:val="center"/>
        </w:trPr>
        <w:tc>
          <w:tcPr>
            <w:tcW w:w="2044" w:type="dxa"/>
            <w:tcMar>
              <w:top w:w="70" w:type="dxa"/>
              <w:left w:w="85" w:type="dxa"/>
              <w:bottom w:w="70" w:type="dxa"/>
              <w:right w:w="85" w:type="dxa"/>
            </w:tcMar>
            <w:vAlign w:val="center"/>
          </w:tcPr>
          <w:p w14:paraId="45BDE3C9" w14:textId="77777777" w:rsidR="009471EF" w:rsidRPr="000121EC" w:rsidRDefault="000723C2" w:rsidP="004B5DB3">
            <w:pPr>
              <w:spacing w:after="0" w:line="240" w:lineRule="auto"/>
              <w:rPr>
                <w:rFonts w:cs="Arial"/>
                <w:szCs w:val="21"/>
              </w:rPr>
            </w:pPr>
            <w:r w:rsidRPr="000121EC">
              <w:rPr>
                <w:rFonts w:cs="Arial"/>
                <w:szCs w:val="21"/>
              </w:rPr>
              <w:t>ICT/AI-related exports</w:t>
            </w:r>
          </w:p>
        </w:tc>
        <w:tc>
          <w:tcPr>
            <w:tcW w:w="3888" w:type="dxa"/>
            <w:tcMar>
              <w:top w:w="70" w:type="dxa"/>
              <w:left w:w="85" w:type="dxa"/>
              <w:bottom w:w="70" w:type="dxa"/>
              <w:right w:w="85" w:type="dxa"/>
            </w:tcMar>
            <w:vAlign w:val="center"/>
          </w:tcPr>
          <w:p w14:paraId="20D88238" w14:textId="77777777" w:rsidR="009471EF" w:rsidRPr="000121EC" w:rsidRDefault="000723C2" w:rsidP="004B5DB3">
            <w:pPr>
              <w:spacing w:after="0" w:line="240" w:lineRule="auto"/>
              <w:rPr>
                <w:rFonts w:cs="Arial"/>
                <w:szCs w:val="21"/>
              </w:rPr>
            </w:pPr>
            <w:r w:rsidRPr="000121EC">
              <w:rPr>
                <w:rFonts w:cs="Arial"/>
                <w:szCs w:val="21"/>
              </w:rPr>
              <w:t>Exports of HS 847150, 847180, 847330, 848610, 848620, 848630, 848640 and 848690 as a share of total goods exports.</w:t>
            </w:r>
          </w:p>
        </w:tc>
        <w:tc>
          <w:tcPr>
            <w:tcW w:w="1944" w:type="dxa"/>
            <w:tcMar>
              <w:top w:w="70" w:type="dxa"/>
              <w:left w:w="85" w:type="dxa"/>
              <w:bottom w:w="70" w:type="dxa"/>
              <w:right w:w="85" w:type="dxa"/>
            </w:tcMar>
            <w:vAlign w:val="center"/>
          </w:tcPr>
          <w:p w14:paraId="2D085CE9" w14:textId="77777777" w:rsidR="009471EF" w:rsidRPr="000121EC" w:rsidRDefault="000723C2" w:rsidP="004B5DB3">
            <w:pPr>
              <w:spacing w:after="0" w:line="240" w:lineRule="auto"/>
              <w:rPr>
                <w:rFonts w:cs="Arial"/>
                <w:szCs w:val="21"/>
              </w:rPr>
            </w:pPr>
            <w:r w:rsidRPr="000121EC">
              <w:rPr>
                <w:rFonts w:cs="Arial"/>
                <w:szCs w:val="21"/>
              </w:rPr>
              <w:t>t−1</w:t>
            </w:r>
          </w:p>
        </w:tc>
        <w:tc>
          <w:tcPr>
            <w:tcW w:w="1843" w:type="dxa"/>
            <w:tcMar>
              <w:top w:w="70" w:type="dxa"/>
              <w:left w:w="85" w:type="dxa"/>
              <w:bottom w:w="70" w:type="dxa"/>
              <w:right w:w="85" w:type="dxa"/>
            </w:tcMar>
            <w:vAlign w:val="center"/>
          </w:tcPr>
          <w:p w14:paraId="34E123D2" w14:textId="77777777" w:rsidR="009471EF" w:rsidRPr="000121EC" w:rsidRDefault="000723C2" w:rsidP="004B5DB3">
            <w:pPr>
              <w:spacing w:after="0" w:line="240" w:lineRule="auto"/>
              <w:rPr>
                <w:rFonts w:cs="Arial"/>
                <w:szCs w:val="21"/>
              </w:rPr>
            </w:pPr>
            <w:r w:rsidRPr="000121EC">
              <w:rPr>
                <w:rFonts w:cs="Arial"/>
                <w:szCs w:val="21"/>
              </w:rPr>
              <w:t xml:space="preserve">Eurostat </w:t>
            </w:r>
            <w:proofErr w:type="spellStart"/>
            <w:r w:rsidRPr="000121EC">
              <w:rPr>
                <w:rFonts w:cs="Arial"/>
                <w:szCs w:val="21"/>
              </w:rPr>
              <w:t>Comext</w:t>
            </w:r>
            <w:proofErr w:type="spellEnd"/>
            <w:r w:rsidRPr="000121EC">
              <w:rPr>
                <w:rFonts w:cs="Arial"/>
                <w:szCs w:val="21"/>
              </w:rPr>
              <w:t>, HS 2022</w:t>
            </w:r>
          </w:p>
        </w:tc>
      </w:tr>
      <w:tr w:rsidR="008942F8" w:rsidRPr="000121EC" w14:paraId="54CC1D43" w14:textId="77777777">
        <w:trPr>
          <w:cantSplit/>
          <w:jc w:val="center"/>
        </w:trPr>
        <w:tc>
          <w:tcPr>
            <w:tcW w:w="2044" w:type="dxa"/>
            <w:tcMar>
              <w:top w:w="70" w:type="dxa"/>
              <w:left w:w="85" w:type="dxa"/>
              <w:bottom w:w="70" w:type="dxa"/>
              <w:right w:w="85" w:type="dxa"/>
            </w:tcMar>
            <w:vAlign w:val="center"/>
          </w:tcPr>
          <w:p w14:paraId="3C280C93" w14:textId="77777777" w:rsidR="009471EF" w:rsidRPr="000121EC" w:rsidRDefault="000723C2" w:rsidP="004B5DB3">
            <w:pPr>
              <w:spacing w:after="0" w:line="240" w:lineRule="auto"/>
              <w:rPr>
                <w:rFonts w:cs="Arial"/>
                <w:szCs w:val="21"/>
              </w:rPr>
            </w:pPr>
            <w:r w:rsidRPr="000121EC">
              <w:rPr>
                <w:rFonts w:cs="Arial"/>
                <w:szCs w:val="21"/>
              </w:rPr>
              <w:t>Semiconductor-market correlation</w:t>
            </w:r>
          </w:p>
        </w:tc>
        <w:tc>
          <w:tcPr>
            <w:tcW w:w="3888" w:type="dxa"/>
            <w:tcMar>
              <w:top w:w="70" w:type="dxa"/>
              <w:left w:w="85" w:type="dxa"/>
              <w:bottom w:w="70" w:type="dxa"/>
              <w:right w:w="85" w:type="dxa"/>
            </w:tcMar>
            <w:vAlign w:val="center"/>
          </w:tcPr>
          <w:p w14:paraId="677742B6" w14:textId="77777777" w:rsidR="009471EF" w:rsidRPr="000121EC" w:rsidRDefault="000723C2" w:rsidP="004B5DB3">
            <w:pPr>
              <w:spacing w:after="0" w:line="240" w:lineRule="auto"/>
              <w:rPr>
                <w:rFonts w:cs="Arial"/>
                <w:szCs w:val="21"/>
              </w:rPr>
            </w:pPr>
            <w:r w:rsidRPr="000121EC">
              <w:rPr>
                <w:rFonts w:cs="Arial"/>
                <w:szCs w:val="21"/>
              </w:rPr>
              <w:t>Rolling eight-quarter correlation between the national equity index and the Philadelphia Semiconductor Index (SOX).</w:t>
            </w:r>
          </w:p>
        </w:tc>
        <w:tc>
          <w:tcPr>
            <w:tcW w:w="1944" w:type="dxa"/>
            <w:tcMar>
              <w:top w:w="70" w:type="dxa"/>
              <w:left w:w="85" w:type="dxa"/>
              <w:bottom w:w="70" w:type="dxa"/>
              <w:right w:w="85" w:type="dxa"/>
            </w:tcMar>
            <w:vAlign w:val="center"/>
          </w:tcPr>
          <w:p w14:paraId="65471BC1" w14:textId="77777777" w:rsidR="009471EF" w:rsidRPr="000121EC" w:rsidRDefault="000723C2" w:rsidP="004B5DB3">
            <w:pPr>
              <w:spacing w:after="0" w:line="240" w:lineRule="auto"/>
              <w:rPr>
                <w:rFonts w:cs="Arial"/>
                <w:szCs w:val="21"/>
              </w:rPr>
            </w:pPr>
            <w:r w:rsidRPr="000121EC">
              <w:rPr>
                <w:rFonts w:cs="Arial"/>
                <w:szCs w:val="21"/>
              </w:rPr>
              <w:t>Annualised t−1 value</w:t>
            </w:r>
          </w:p>
        </w:tc>
        <w:tc>
          <w:tcPr>
            <w:tcW w:w="1843" w:type="dxa"/>
            <w:tcMar>
              <w:top w:w="70" w:type="dxa"/>
              <w:left w:w="85" w:type="dxa"/>
              <w:bottom w:w="70" w:type="dxa"/>
              <w:right w:w="85" w:type="dxa"/>
            </w:tcMar>
            <w:vAlign w:val="center"/>
          </w:tcPr>
          <w:p w14:paraId="74009A92" w14:textId="77777777" w:rsidR="009471EF" w:rsidRPr="000121EC" w:rsidRDefault="000723C2" w:rsidP="004B5DB3">
            <w:pPr>
              <w:spacing w:after="0" w:line="240" w:lineRule="auto"/>
              <w:rPr>
                <w:rFonts w:cs="Arial"/>
                <w:szCs w:val="21"/>
              </w:rPr>
            </w:pPr>
            <w:r w:rsidRPr="000121EC">
              <w:rPr>
                <w:rFonts w:cs="Arial"/>
                <w:szCs w:val="21"/>
              </w:rPr>
              <w:t>Yahoo Finance</w:t>
            </w:r>
          </w:p>
        </w:tc>
      </w:tr>
      <w:tr w:rsidR="008942F8" w:rsidRPr="000121EC" w14:paraId="271BCEDC" w14:textId="77777777">
        <w:trPr>
          <w:cantSplit/>
          <w:jc w:val="center"/>
        </w:trPr>
        <w:tc>
          <w:tcPr>
            <w:tcW w:w="2044" w:type="dxa"/>
            <w:tcMar>
              <w:top w:w="70" w:type="dxa"/>
              <w:left w:w="85" w:type="dxa"/>
              <w:bottom w:w="70" w:type="dxa"/>
              <w:right w:w="85" w:type="dxa"/>
            </w:tcMar>
            <w:vAlign w:val="center"/>
          </w:tcPr>
          <w:p w14:paraId="5636BC9D" w14:textId="77777777" w:rsidR="009471EF" w:rsidRPr="000121EC" w:rsidRDefault="000723C2" w:rsidP="004B5DB3">
            <w:pPr>
              <w:spacing w:after="0" w:line="240" w:lineRule="auto"/>
              <w:rPr>
                <w:rFonts w:cs="Arial"/>
                <w:szCs w:val="21"/>
              </w:rPr>
            </w:pPr>
            <w:r w:rsidRPr="000121EC">
              <w:rPr>
                <w:rFonts w:cs="Arial"/>
                <w:szCs w:val="21"/>
              </w:rPr>
              <w:t>State-aid control</w:t>
            </w:r>
          </w:p>
        </w:tc>
        <w:tc>
          <w:tcPr>
            <w:tcW w:w="3888" w:type="dxa"/>
            <w:tcMar>
              <w:top w:w="70" w:type="dxa"/>
              <w:left w:w="85" w:type="dxa"/>
              <w:bottom w:w="70" w:type="dxa"/>
              <w:right w:w="85" w:type="dxa"/>
            </w:tcMar>
            <w:vAlign w:val="center"/>
          </w:tcPr>
          <w:p w14:paraId="0CEEAA54" w14:textId="77777777" w:rsidR="009471EF" w:rsidRPr="000121EC" w:rsidRDefault="000723C2" w:rsidP="004B5DB3">
            <w:pPr>
              <w:spacing w:after="0" w:line="240" w:lineRule="auto"/>
              <w:rPr>
                <w:rFonts w:cs="Arial"/>
                <w:szCs w:val="21"/>
              </w:rPr>
            </w:pPr>
            <w:r w:rsidRPr="000121EC">
              <w:rPr>
                <w:rFonts w:cs="Arial"/>
                <w:szCs w:val="21"/>
              </w:rPr>
              <w:t>State aid in t divided by nominal GDP in t−1; standardised before estimation.</w:t>
            </w:r>
          </w:p>
        </w:tc>
        <w:tc>
          <w:tcPr>
            <w:tcW w:w="1944" w:type="dxa"/>
            <w:tcMar>
              <w:top w:w="70" w:type="dxa"/>
              <w:left w:w="85" w:type="dxa"/>
              <w:bottom w:w="70" w:type="dxa"/>
              <w:right w:w="85" w:type="dxa"/>
            </w:tcMar>
            <w:vAlign w:val="center"/>
          </w:tcPr>
          <w:p w14:paraId="3B092372" w14:textId="77777777" w:rsidR="009471EF" w:rsidRPr="000121EC" w:rsidRDefault="000723C2" w:rsidP="004B5DB3">
            <w:pPr>
              <w:spacing w:after="0" w:line="240" w:lineRule="auto"/>
              <w:rPr>
                <w:rFonts w:cs="Arial"/>
                <w:szCs w:val="21"/>
              </w:rPr>
            </w:pPr>
            <w:r w:rsidRPr="000121EC">
              <w:rPr>
                <w:rFonts w:cs="Arial"/>
                <w:szCs w:val="21"/>
              </w:rPr>
              <w:t>Aid at t; denominator at t−1</w:t>
            </w:r>
          </w:p>
        </w:tc>
        <w:tc>
          <w:tcPr>
            <w:tcW w:w="1843" w:type="dxa"/>
            <w:tcMar>
              <w:top w:w="70" w:type="dxa"/>
              <w:left w:w="85" w:type="dxa"/>
              <w:bottom w:w="70" w:type="dxa"/>
              <w:right w:w="85" w:type="dxa"/>
            </w:tcMar>
            <w:vAlign w:val="center"/>
          </w:tcPr>
          <w:p w14:paraId="68A19877" w14:textId="77777777" w:rsidR="009471EF" w:rsidRPr="000121EC" w:rsidRDefault="000723C2" w:rsidP="004B5DB3">
            <w:pPr>
              <w:spacing w:after="0" w:line="240" w:lineRule="auto"/>
              <w:rPr>
                <w:rFonts w:cs="Arial"/>
                <w:szCs w:val="21"/>
              </w:rPr>
            </w:pPr>
            <w:r w:rsidRPr="000121EC">
              <w:rPr>
                <w:rFonts w:cs="Arial"/>
                <w:szCs w:val="21"/>
              </w:rPr>
              <w:t>EU State Aid Scoreboard; Eurostat GDP</w:t>
            </w:r>
          </w:p>
        </w:tc>
      </w:tr>
      <w:tr w:rsidR="008942F8" w:rsidRPr="000121EC" w14:paraId="17AFB977" w14:textId="77777777">
        <w:trPr>
          <w:cantSplit/>
          <w:jc w:val="center"/>
        </w:trPr>
        <w:tc>
          <w:tcPr>
            <w:tcW w:w="2044" w:type="dxa"/>
            <w:tcMar>
              <w:top w:w="70" w:type="dxa"/>
              <w:left w:w="85" w:type="dxa"/>
              <w:bottom w:w="70" w:type="dxa"/>
              <w:right w:w="85" w:type="dxa"/>
            </w:tcMar>
            <w:vAlign w:val="center"/>
          </w:tcPr>
          <w:p w14:paraId="1A62F515" w14:textId="77777777" w:rsidR="009471EF" w:rsidRPr="000121EC" w:rsidRDefault="000723C2" w:rsidP="004B5DB3">
            <w:pPr>
              <w:spacing w:after="0" w:line="240" w:lineRule="auto"/>
              <w:rPr>
                <w:rFonts w:cs="Arial"/>
                <w:szCs w:val="21"/>
              </w:rPr>
            </w:pPr>
            <w:r w:rsidRPr="000121EC">
              <w:rPr>
                <w:rFonts w:cs="Arial"/>
                <w:szCs w:val="21"/>
              </w:rPr>
              <w:t>Trade-openness control</w:t>
            </w:r>
          </w:p>
        </w:tc>
        <w:tc>
          <w:tcPr>
            <w:tcW w:w="3888" w:type="dxa"/>
            <w:tcMar>
              <w:top w:w="70" w:type="dxa"/>
              <w:left w:w="85" w:type="dxa"/>
              <w:bottom w:w="70" w:type="dxa"/>
              <w:right w:w="85" w:type="dxa"/>
            </w:tcMar>
            <w:vAlign w:val="center"/>
          </w:tcPr>
          <w:p w14:paraId="6160F706" w14:textId="77777777" w:rsidR="009471EF" w:rsidRPr="000121EC" w:rsidRDefault="000723C2" w:rsidP="004B5DB3">
            <w:pPr>
              <w:spacing w:after="0" w:line="240" w:lineRule="auto"/>
              <w:rPr>
                <w:rFonts w:cs="Arial"/>
                <w:szCs w:val="21"/>
              </w:rPr>
            </w:pPr>
            <w:r w:rsidRPr="000121EC">
              <w:rPr>
                <w:rFonts w:cs="Arial"/>
                <w:szCs w:val="21"/>
              </w:rPr>
              <w:t>Exports plus imports divided by GDP; standardised before estimation.</w:t>
            </w:r>
          </w:p>
        </w:tc>
        <w:tc>
          <w:tcPr>
            <w:tcW w:w="1944" w:type="dxa"/>
            <w:tcMar>
              <w:top w:w="70" w:type="dxa"/>
              <w:left w:w="85" w:type="dxa"/>
              <w:bottom w:w="70" w:type="dxa"/>
              <w:right w:w="85" w:type="dxa"/>
            </w:tcMar>
            <w:vAlign w:val="center"/>
          </w:tcPr>
          <w:p w14:paraId="5FF19D8F" w14:textId="77777777" w:rsidR="009471EF" w:rsidRPr="000121EC" w:rsidRDefault="000723C2" w:rsidP="004B5DB3">
            <w:pPr>
              <w:spacing w:after="0" w:line="240" w:lineRule="auto"/>
              <w:rPr>
                <w:rFonts w:cs="Arial"/>
                <w:szCs w:val="21"/>
              </w:rPr>
            </w:pPr>
            <w:r w:rsidRPr="000121EC">
              <w:rPr>
                <w:rFonts w:cs="Arial"/>
                <w:szCs w:val="21"/>
              </w:rPr>
              <w:t>t−1</w:t>
            </w:r>
          </w:p>
        </w:tc>
        <w:tc>
          <w:tcPr>
            <w:tcW w:w="1843" w:type="dxa"/>
            <w:tcMar>
              <w:top w:w="70" w:type="dxa"/>
              <w:left w:w="85" w:type="dxa"/>
              <w:bottom w:w="70" w:type="dxa"/>
              <w:right w:w="85" w:type="dxa"/>
            </w:tcMar>
            <w:vAlign w:val="center"/>
          </w:tcPr>
          <w:p w14:paraId="533664DE" w14:textId="77777777" w:rsidR="009471EF" w:rsidRPr="000121EC" w:rsidRDefault="000723C2" w:rsidP="004B5DB3">
            <w:pPr>
              <w:spacing w:after="0" w:line="240" w:lineRule="auto"/>
              <w:rPr>
                <w:rFonts w:cs="Arial"/>
                <w:szCs w:val="21"/>
              </w:rPr>
            </w:pPr>
            <w:r w:rsidRPr="000121EC">
              <w:rPr>
                <w:rFonts w:cs="Arial"/>
                <w:szCs w:val="21"/>
              </w:rPr>
              <w:t>World Bank</w:t>
            </w:r>
          </w:p>
        </w:tc>
      </w:tr>
      <w:tr w:rsidR="008942F8" w:rsidRPr="000121EC" w14:paraId="34FEA53D" w14:textId="77777777">
        <w:trPr>
          <w:cantSplit/>
          <w:jc w:val="center"/>
        </w:trPr>
        <w:tc>
          <w:tcPr>
            <w:tcW w:w="2044" w:type="dxa"/>
            <w:tcMar>
              <w:top w:w="70" w:type="dxa"/>
              <w:left w:w="85" w:type="dxa"/>
              <w:bottom w:w="70" w:type="dxa"/>
              <w:right w:w="85" w:type="dxa"/>
            </w:tcMar>
            <w:vAlign w:val="center"/>
          </w:tcPr>
          <w:p w14:paraId="68C88465" w14:textId="77777777" w:rsidR="009471EF" w:rsidRPr="000121EC" w:rsidRDefault="000723C2" w:rsidP="004B5DB3">
            <w:pPr>
              <w:spacing w:after="0" w:line="240" w:lineRule="auto"/>
              <w:rPr>
                <w:rFonts w:cs="Arial"/>
                <w:szCs w:val="21"/>
              </w:rPr>
            </w:pPr>
            <w:r w:rsidRPr="000121EC">
              <w:rPr>
                <w:rFonts w:cs="Arial"/>
                <w:szCs w:val="21"/>
              </w:rPr>
              <w:t>Forecast-type controls</w:t>
            </w:r>
          </w:p>
        </w:tc>
        <w:tc>
          <w:tcPr>
            <w:tcW w:w="3888" w:type="dxa"/>
            <w:tcMar>
              <w:top w:w="70" w:type="dxa"/>
              <w:left w:w="85" w:type="dxa"/>
              <w:bottom w:w="70" w:type="dxa"/>
              <w:right w:w="85" w:type="dxa"/>
            </w:tcMar>
            <w:vAlign w:val="center"/>
          </w:tcPr>
          <w:p w14:paraId="6F8BF82C" w14:textId="77777777" w:rsidR="009471EF" w:rsidRPr="000121EC" w:rsidRDefault="000723C2" w:rsidP="004B5DB3">
            <w:pPr>
              <w:spacing w:after="0" w:line="240" w:lineRule="auto"/>
              <w:rPr>
                <w:rFonts w:cs="Arial"/>
                <w:szCs w:val="21"/>
              </w:rPr>
            </w:pPr>
            <w:r w:rsidRPr="000121EC">
              <w:rPr>
                <w:rFonts w:cs="Arial"/>
                <w:szCs w:val="21"/>
              </w:rPr>
              <w:t>Autumn-vintage indicator, t+1-horizon indicator, and their interaction.</w:t>
            </w:r>
          </w:p>
        </w:tc>
        <w:tc>
          <w:tcPr>
            <w:tcW w:w="1944" w:type="dxa"/>
            <w:tcMar>
              <w:top w:w="70" w:type="dxa"/>
              <w:left w:w="85" w:type="dxa"/>
              <w:bottom w:w="70" w:type="dxa"/>
              <w:right w:w="85" w:type="dxa"/>
            </w:tcMar>
            <w:vAlign w:val="center"/>
          </w:tcPr>
          <w:p w14:paraId="67BC95E2" w14:textId="77777777" w:rsidR="009471EF" w:rsidRPr="000121EC" w:rsidRDefault="000723C2" w:rsidP="004B5DB3">
            <w:pPr>
              <w:spacing w:after="0" w:line="240" w:lineRule="auto"/>
              <w:rPr>
                <w:rFonts w:cs="Arial"/>
                <w:szCs w:val="21"/>
              </w:rPr>
            </w:pPr>
            <w:r w:rsidRPr="000121EC">
              <w:rPr>
                <w:rFonts w:cs="Arial"/>
                <w:szCs w:val="21"/>
              </w:rPr>
              <w:t>Same forecast observation as the dependent variable</w:t>
            </w:r>
          </w:p>
        </w:tc>
        <w:tc>
          <w:tcPr>
            <w:tcW w:w="1843" w:type="dxa"/>
            <w:tcMar>
              <w:top w:w="70" w:type="dxa"/>
              <w:left w:w="85" w:type="dxa"/>
              <w:bottom w:w="70" w:type="dxa"/>
              <w:right w:w="85" w:type="dxa"/>
            </w:tcMar>
            <w:vAlign w:val="center"/>
          </w:tcPr>
          <w:p w14:paraId="48CF0081" w14:textId="77777777" w:rsidR="009471EF" w:rsidRPr="000121EC" w:rsidRDefault="000723C2" w:rsidP="004B5DB3">
            <w:pPr>
              <w:spacing w:after="0" w:line="240" w:lineRule="auto"/>
              <w:rPr>
                <w:rFonts w:cs="Arial"/>
                <w:szCs w:val="21"/>
              </w:rPr>
            </w:pPr>
            <w:r w:rsidRPr="000121EC">
              <w:rPr>
                <w:rFonts w:cs="Arial"/>
                <w:szCs w:val="21"/>
              </w:rPr>
              <w:t>Constructed from forecast metadata</w:t>
            </w:r>
          </w:p>
        </w:tc>
      </w:tr>
    </w:tbl>
    <w:p w14:paraId="7A883AF5" w14:textId="77777777" w:rsidR="004B5DB3" w:rsidRDefault="004B5DB3" w:rsidP="004B5DB3">
      <w:pPr>
        <w:pStyle w:val="TableNote"/>
        <w:spacing w:after="0"/>
        <w:ind w:left="720"/>
        <w:jc w:val="both"/>
        <w:rPr>
          <w:rFonts w:cs="Arial"/>
          <w:i/>
          <w:color w:val="auto"/>
          <w:sz w:val="21"/>
          <w:szCs w:val="21"/>
          <w:lang w:val="en-GB"/>
        </w:rPr>
      </w:pPr>
    </w:p>
    <w:p w14:paraId="2815ED0E" w14:textId="2AA24C7E" w:rsidR="008942F8" w:rsidRPr="004B5DB3" w:rsidRDefault="002F7A2B" w:rsidP="004B5DB3">
      <w:pPr>
        <w:pStyle w:val="TableNote"/>
        <w:spacing w:after="0"/>
        <w:ind w:left="720"/>
        <w:jc w:val="both"/>
        <w:rPr>
          <w:rFonts w:cs="Arial"/>
          <w:i/>
          <w:color w:val="auto"/>
          <w:sz w:val="21"/>
          <w:szCs w:val="21"/>
          <w:lang w:val="en-GB"/>
        </w:rPr>
      </w:pPr>
      <w:r w:rsidRPr="004B5DB3">
        <w:rPr>
          <w:rFonts w:cs="Arial"/>
          <w:i/>
          <w:color w:val="auto"/>
          <w:sz w:val="21"/>
          <w:szCs w:val="21"/>
          <w:lang w:val="en-GB"/>
        </w:rPr>
        <w:t xml:space="preserve">Note: </w:t>
      </w:r>
      <w:r w:rsidR="005A3120">
        <w:rPr>
          <w:rFonts w:cs="Arial"/>
          <w:i/>
          <w:color w:val="auto"/>
          <w:sz w:val="21"/>
          <w:szCs w:val="21"/>
          <w:lang w:val="en-GB"/>
        </w:rPr>
        <w:t>The</w:t>
      </w:r>
      <w:r w:rsidRPr="004B5DB3">
        <w:rPr>
          <w:rFonts w:cs="Arial"/>
          <w:i/>
          <w:color w:val="auto"/>
          <w:sz w:val="21"/>
          <w:szCs w:val="21"/>
          <w:lang w:val="en-GB"/>
        </w:rPr>
        <w:t xml:space="preserve"> exposure </w:t>
      </w:r>
      <w:r w:rsidR="005A3120">
        <w:rPr>
          <w:rFonts w:cs="Arial"/>
          <w:i/>
          <w:color w:val="auto"/>
          <w:sz w:val="21"/>
          <w:szCs w:val="21"/>
          <w:lang w:val="en-GB"/>
        </w:rPr>
        <w:t>meas</w:t>
      </w:r>
      <w:r w:rsidRPr="004B5DB3">
        <w:rPr>
          <w:rFonts w:cs="Arial"/>
          <w:i/>
          <w:color w:val="auto"/>
          <w:sz w:val="21"/>
          <w:szCs w:val="21"/>
          <w:lang w:val="en-GB"/>
        </w:rPr>
        <w:t>ures and control</w:t>
      </w:r>
      <w:r w:rsidR="005A3120">
        <w:rPr>
          <w:rFonts w:cs="Arial"/>
          <w:i/>
          <w:color w:val="auto"/>
          <w:sz w:val="21"/>
          <w:szCs w:val="21"/>
          <w:lang w:val="en-GB"/>
        </w:rPr>
        <w:t xml:space="preserve"> variables</w:t>
      </w:r>
      <w:r w:rsidRPr="004B5DB3">
        <w:rPr>
          <w:rFonts w:cs="Arial"/>
          <w:i/>
          <w:color w:val="auto"/>
          <w:sz w:val="21"/>
          <w:szCs w:val="21"/>
          <w:lang w:val="en-GB"/>
        </w:rPr>
        <w:t xml:space="preserve"> are standardised. Each exposure</w:t>
      </w:r>
      <w:r w:rsidR="005A3120">
        <w:rPr>
          <w:rFonts w:cs="Arial"/>
          <w:i/>
          <w:color w:val="auto"/>
          <w:sz w:val="21"/>
          <w:szCs w:val="21"/>
          <w:lang w:val="en-GB"/>
        </w:rPr>
        <w:t xml:space="preserve"> variable</w:t>
      </w:r>
      <w:r w:rsidRPr="004B5DB3">
        <w:rPr>
          <w:rFonts w:cs="Arial"/>
          <w:i/>
          <w:color w:val="auto"/>
          <w:sz w:val="21"/>
          <w:szCs w:val="21"/>
          <w:lang w:val="en-GB"/>
        </w:rPr>
        <w:t xml:space="preserve"> is estimated in a separate set of models. The lag structure is designed to </w:t>
      </w:r>
      <w:r w:rsidR="004C297F">
        <w:rPr>
          <w:rFonts w:cs="Arial"/>
          <w:i/>
          <w:color w:val="auto"/>
          <w:sz w:val="21"/>
          <w:szCs w:val="21"/>
          <w:lang w:val="en-GB"/>
        </w:rPr>
        <w:t>address</w:t>
      </w:r>
      <w:r w:rsidRPr="004B5DB3">
        <w:rPr>
          <w:rFonts w:cs="Arial"/>
          <w:i/>
          <w:color w:val="auto"/>
          <w:sz w:val="21"/>
          <w:szCs w:val="21"/>
          <w:lang w:val="en-GB"/>
        </w:rPr>
        <w:t xml:space="preserve"> </w:t>
      </w:r>
      <w:r w:rsidR="004C297F">
        <w:rPr>
          <w:rFonts w:cs="Arial"/>
          <w:i/>
          <w:color w:val="auto"/>
          <w:sz w:val="21"/>
          <w:szCs w:val="21"/>
          <w:lang w:val="en-GB"/>
        </w:rPr>
        <w:t xml:space="preserve">endogeneity </w:t>
      </w:r>
      <w:r w:rsidRPr="004B5DB3">
        <w:rPr>
          <w:rFonts w:cs="Arial"/>
          <w:i/>
          <w:color w:val="auto"/>
          <w:sz w:val="21"/>
          <w:szCs w:val="21"/>
          <w:lang w:val="en-GB"/>
        </w:rPr>
        <w:t>and denominator effects.</w:t>
      </w:r>
    </w:p>
    <w:sectPr w:rsidR="008942F8" w:rsidRPr="004B5DB3" w:rsidSect="00EF13A9">
      <w:footerReference w:type="default" r:id="rId12"/>
      <w:pgSz w:w="12240" w:h="15840"/>
      <w:pgMar w:top="1037" w:right="2250" w:bottom="1037" w:left="1181"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28B68" w14:textId="77777777" w:rsidR="00F40361" w:rsidRDefault="00F40361">
      <w:pPr>
        <w:spacing w:after="0" w:line="240" w:lineRule="auto"/>
      </w:pPr>
      <w:r>
        <w:separator/>
      </w:r>
    </w:p>
  </w:endnote>
  <w:endnote w:type="continuationSeparator" w:id="0">
    <w:p w14:paraId="75A55FE2" w14:textId="77777777" w:rsidR="00F40361" w:rsidRDefault="00F403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4571C" w14:textId="3481D357" w:rsidR="008942F8" w:rsidRDefault="002F7A2B">
    <w:pPr>
      <w:pStyle w:val="Footer"/>
      <w:jc w:val="center"/>
    </w:pPr>
    <w:r>
      <w:rPr>
        <w:color w:val="666666"/>
        <w:sz w:val="16"/>
      </w:rPr>
      <w:fldChar w:fldCharType="begin"/>
    </w:r>
    <w:r>
      <w:rPr>
        <w:color w:val="666666"/>
        <w:sz w:val="16"/>
      </w:rPr>
      <w:instrText xml:space="preserve"> PAGE </w:instrText>
    </w:r>
    <w:r>
      <w:rPr>
        <w:color w:val="666666"/>
        <w:sz w:val="16"/>
      </w:rPr>
      <w:fldChar w:fldCharType="separate"/>
    </w:r>
    <w:r w:rsidR="00DD3FFF">
      <w:rPr>
        <w:noProof/>
        <w:color w:val="666666"/>
        <w:sz w:val="16"/>
      </w:rPr>
      <w:t>1</w: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777C2" w14:textId="77777777" w:rsidR="00F40361" w:rsidRDefault="00F40361">
      <w:pPr>
        <w:spacing w:after="0" w:line="240" w:lineRule="auto"/>
      </w:pPr>
      <w:r>
        <w:separator/>
      </w:r>
    </w:p>
  </w:footnote>
  <w:footnote w:type="continuationSeparator" w:id="0">
    <w:p w14:paraId="16FE083F" w14:textId="77777777" w:rsidR="00F40361" w:rsidRDefault="00F403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431292">
    <w:abstractNumId w:val="8"/>
  </w:num>
  <w:num w:numId="2" w16cid:durableId="1304387950">
    <w:abstractNumId w:val="6"/>
  </w:num>
  <w:num w:numId="3" w16cid:durableId="1332485459">
    <w:abstractNumId w:val="5"/>
  </w:num>
  <w:num w:numId="4" w16cid:durableId="856039517">
    <w:abstractNumId w:val="4"/>
  </w:num>
  <w:num w:numId="5" w16cid:durableId="141436583">
    <w:abstractNumId w:val="7"/>
  </w:num>
  <w:num w:numId="6" w16cid:durableId="1587030039">
    <w:abstractNumId w:val="3"/>
  </w:num>
  <w:num w:numId="7" w16cid:durableId="242566947">
    <w:abstractNumId w:val="2"/>
  </w:num>
  <w:num w:numId="8" w16cid:durableId="418795786">
    <w:abstractNumId w:val="1"/>
  </w:num>
  <w:num w:numId="9" w16cid:durableId="422652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497"/>
    <w:rsid w:val="0000380C"/>
    <w:rsid w:val="0001213B"/>
    <w:rsid w:val="000121EC"/>
    <w:rsid w:val="00024FC3"/>
    <w:rsid w:val="00034616"/>
    <w:rsid w:val="0006063C"/>
    <w:rsid w:val="000723C2"/>
    <w:rsid w:val="00072F08"/>
    <w:rsid w:val="0008197D"/>
    <w:rsid w:val="000873E0"/>
    <w:rsid w:val="000913E9"/>
    <w:rsid w:val="000A1220"/>
    <w:rsid w:val="000A343E"/>
    <w:rsid w:val="000B0AA0"/>
    <w:rsid w:val="000B28B0"/>
    <w:rsid w:val="000C49A8"/>
    <w:rsid w:val="000D7244"/>
    <w:rsid w:val="000E12EC"/>
    <w:rsid w:val="000F4792"/>
    <w:rsid w:val="00106A5D"/>
    <w:rsid w:val="00113F41"/>
    <w:rsid w:val="001164FD"/>
    <w:rsid w:val="00124317"/>
    <w:rsid w:val="0015074B"/>
    <w:rsid w:val="00171216"/>
    <w:rsid w:val="00171F0F"/>
    <w:rsid w:val="001932E6"/>
    <w:rsid w:val="00194F66"/>
    <w:rsid w:val="001A0D24"/>
    <w:rsid w:val="001B12FE"/>
    <w:rsid w:val="001B4139"/>
    <w:rsid w:val="001C1977"/>
    <w:rsid w:val="001C5288"/>
    <w:rsid w:val="001E118A"/>
    <w:rsid w:val="001E5043"/>
    <w:rsid w:val="00210AF8"/>
    <w:rsid w:val="00211987"/>
    <w:rsid w:val="002122FF"/>
    <w:rsid w:val="00222215"/>
    <w:rsid w:val="0023242E"/>
    <w:rsid w:val="00232BA3"/>
    <w:rsid w:val="00236AE5"/>
    <w:rsid w:val="00246774"/>
    <w:rsid w:val="00257ADE"/>
    <w:rsid w:val="00290313"/>
    <w:rsid w:val="00292401"/>
    <w:rsid w:val="0029639D"/>
    <w:rsid w:val="002A1231"/>
    <w:rsid w:val="002B6E08"/>
    <w:rsid w:val="002C1670"/>
    <w:rsid w:val="002C2370"/>
    <w:rsid w:val="002C617C"/>
    <w:rsid w:val="002F7A2B"/>
    <w:rsid w:val="0030759B"/>
    <w:rsid w:val="003171A6"/>
    <w:rsid w:val="00324B50"/>
    <w:rsid w:val="00326F90"/>
    <w:rsid w:val="00330EAD"/>
    <w:rsid w:val="00334A4B"/>
    <w:rsid w:val="00343FE0"/>
    <w:rsid w:val="0036337A"/>
    <w:rsid w:val="00394345"/>
    <w:rsid w:val="003A7450"/>
    <w:rsid w:val="003B39C0"/>
    <w:rsid w:val="003C618B"/>
    <w:rsid w:val="003D0722"/>
    <w:rsid w:val="003D0A5B"/>
    <w:rsid w:val="004134B9"/>
    <w:rsid w:val="00413CF1"/>
    <w:rsid w:val="00417333"/>
    <w:rsid w:val="00421238"/>
    <w:rsid w:val="00424BA6"/>
    <w:rsid w:val="004516C6"/>
    <w:rsid w:val="004538D0"/>
    <w:rsid w:val="00454534"/>
    <w:rsid w:val="00457986"/>
    <w:rsid w:val="00466D4D"/>
    <w:rsid w:val="004729F6"/>
    <w:rsid w:val="00477162"/>
    <w:rsid w:val="0048595A"/>
    <w:rsid w:val="00486803"/>
    <w:rsid w:val="004903BA"/>
    <w:rsid w:val="004A201F"/>
    <w:rsid w:val="004B5DB3"/>
    <w:rsid w:val="004C297F"/>
    <w:rsid w:val="004D0555"/>
    <w:rsid w:val="004E3322"/>
    <w:rsid w:val="004E5D20"/>
    <w:rsid w:val="004F12D4"/>
    <w:rsid w:val="004F3EAD"/>
    <w:rsid w:val="00530ABC"/>
    <w:rsid w:val="00531458"/>
    <w:rsid w:val="005418E8"/>
    <w:rsid w:val="00555CC0"/>
    <w:rsid w:val="00557797"/>
    <w:rsid w:val="0056680F"/>
    <w:rsid w:val="0057485B"/>
    <w:rsid w:val="00576749"/>
    <w:rsid w:val="00595052"/>
    <w:rsid w:val="0059511B"/>
    <w:rsid w:val="005A3120"/>
    <w:rsid w:val="005A4FC8"/>
    <w:rsid w:val="005C0161"/>
    <w:rsid w:val="005C5A1C"/>
    <w:rsid w:val="005D2FB7"/>
    <w:rsid w:val="005D6AFA"/>
    <w:rsid w:val="005E6C76"/>
    <w:rsid w:val="005F3CEF"/>
    <w:rsid w:val="00600257"/>
    <w:rsid w:val="0061123A"/>
    <w:rsid w:val="00625171"/>
    <w:rsid w:val="006263FB"/>
    <w:rsid w:val="00633071"/>
    <w:rsid w:val="006453C7"/>
    <w:rsid w:val="00646FC0"/>
    <w:rsid w:val="00672460"/>
    <w:rsid w:val="00695DB8"/>
    <w:rsid w:val="0069786E"/>
    <w:rsid w:val="00697C1E"/>
    <w:rsid w:val="006A09EE"/>
    <w:rsid w:val="006C28E9"/>
    <w:rsid w:val="006C400E"/>
    <w:rsid w:val="006E0C8E"/>
    <w:rsid w:val="006E0DCB"/>
    <w:rsid w:val="006E2374"/>
    <w:rsid w:val="006F5A5B"/>
    <w:rsid w:val="0072313E"/>
    <w:rsid w:val="007256E6"/>
    <w:rsid w:val="007256EA"/>
    <w:rsid w:val="00726808"/>
    <w:rsid w:val="007338D6"/>
    <w:rsid w:val="00751348"/>
    <w:rsid w:val="00753F0D"/>
    <w:rsid w:val="007A085B"/>
    <w:rsid w:val="007A2CF5"/>
    <w:rsid w:val="007A6F89"/>
    <w:rsid w:val="007B315D"/>
    <w:rsid w:val="007C547F"/>
    <w:rsid w:val="007E59DA"/>
    <w:rsid w:val="00805C7D"/>
    <w:rsid w:val="00822FBE"/>
    <w:rsid w:val="00845444"/>
    <w:rsid w:val="008641BE"/>
    <w:rsid w:val="0086690A"/>
    <w:rsid w:val="008708BD"/>
    <w:rsid w:val="00871864"/>
    <w:rsid w:val="008730E1"/>
    <w:rsid w:val="008738F3"/>
    <w:rsid w:val="008942F8"/>
    <w:rsid w:val="00895E26"/>
    <w:rsid w:val="008A16DB"/>
    <w:rsid w:val="008B1AFB"/>
    <w:rsid w:val="008C3F60"/>
    <w:rsid w:val="008E0456"/>
    <w:rsid w:val="008F0F6C"/>
    <w:rsid w:val="008F1B4D"/>
    <w:rsid w:val="008F21BC"/>
    <w:rsid w:val="008F3817"/>
    <w:rsid w:val="008F3E1F"/>
    <w:rsid w:val="009073A9"/>
    <w:rsid w:val="00917F05"/>
    <w:rsid w:val="009471EF"/>
    <w:rsid w:val="00950429"/>
    <w:rsid w:val="009514DB"/>
    <w:rsid w:val="00971E70"/>
    <w:rsid w:val="009949CF"/>
    <w:rsid w:val="009A0A28"/>
    <w:rsid w:val="009B768E"/>
    <w:rsid w:val="00A00DCD"/>
    <w:rsid w:val="00A20271"/>
    <w:rsid w:val="00A238A2"/>
    <w:rsid w:val="00A40D2B"/>
    <w:rsid w:val="00A44B5E"/>
    <w:rsid w:val="00A559AB"/>
    <w:rsid w:val="00A57521"/>
    <w:rsid w:val="00A65BFB"/>
    <w:rsid w:val="00A67BAC"/>
    <w:rsid w:val="00A71B69"/>
    <w:rsid w:val="00A72A5D"/>
    <w:rsid w:val="00A75158"/>
    <w:rsid w:val="00A959E4"/>
    <w:rsid w:val="00AA1D8D"/>
    <w:rsid w:val="00AB117F"/>
    <w:rsid w:val="00AB2A14"/>
    <w:rsid w:val="00AB7E7B"/>
    <w:rsid w:val="00AD5DC6"/>
    <w:rsid w:val="00AE5294"/>
    <w:rsid w:val="00B02671"/>
    <w:rsid w:val="00B1148C"/>
    <w:rsid w:val="00B316E4"/>
    <w:rsid w:val="00B437F4"/>
    <w:rsid w:val="00B44701"/>
    <w:rsid w:val="00B47730"/>
    <w:rsid w:val="00B52AEF"/>
    <w:rsid w:val="00B67D32"/>
    <w:rsid w:val="00B70596"/>
    <w:rsid w:val="00BA3A95"/>
    <w:rsid w:val="00BB1183"/>
    <w:rsid w:val="00BC6BF4"/>
    <w:rsid w:val="00BE4C69"/>
    <w:rsid w:val="00BF1694"/>
    <w:rsid w:val="00BF2870"/>
    <w:rsid w:val="00BF7A64"/>
    <w:rsid w:val="00C10262"/>
    <w:rsid w:val="00C16632"/>
    <w:rsid w:val="00C56A6D"/>
    <w:rsid w:val="00C56D0E"/>
    <w:rsid w:val="00C90EA5"/>
    <w:rsid w:val="00C9361D"/>
    <w:rsid w:val="00CA3E40"/>
    <w:rsid w:val="00CB0664"/>
    <w:rsid w:val="00CD71A2"/>
    <w:rsid w:val="00CE2F25"/>
    <w:rsid w:val="00CE6AD9"/>
    <w:rsid w:val="00CF2C5E"/>
    <w:rsid w:val="00D12659"/>
    <w:rsid w:val="00D22647"/>
    <w:rsid w:val="00D33A94"/>
    <w:rsid w:val="00D50D5C"/>
    <w:rsid w:val="00D56FE7"/>
    <w:rsid w:val="00D83337"/>
    <w:rsid w:val="00D90EC2"/>
    <w:rsid w:val="00DC0C76"/>
    <w:rsid w:val="00DC3188"/>
    <w:rsid w:val="00DD07D5"/>
    <w:rsid w:val="00DD3FFF"/>
    <w:rsid w:val="00DD4921"/>
    <w:rsid w:val="00DD6F80"/>
    <w:rsid w:val="00E17812"/>
    <w:rsid w:val="00E25940"/>
    <w:rsid w:val="00E32BEE"/>
    <w:rsid w:val="00E370D7"/>
    <w:rsid w:val="00E50DB5"/>
    <w:rsid w:val="00E51F2E"/>
    <w:rsid w:val="00E64CB5"/>
    <w:rsid w:val="00E65D48"/>
    <w:rsid w:val="00E72C22"/>
    <w:rsid w:val="00E82C79"/>
    <w:rsid w:val="00E84984"/>
    <w:rsid w:val="00E9483E"/>
    <w:rsid w:val="00EA2BA1"/>
    <w:rsid w:val="00EA3370"/>
    <w:rsid w:val="00EA63DB"/>
    <w:rsid w:val="00EC326E"/>
    <w:rsid w:val="00EC705B"/>
    <w:rsid w:val="00EC747B"/>
    <w:rsid w:val="00EC78F7"/>
    <w:rsid w:val="00ED2634"/>
    <w:rsid w:val="00EF13A9"/>
    <w:rsid w:val="00EF614E"/>
    <w:rsid w:val="00F17E06"/>
    <w:rsid w:val="00F24B75"/>
    <w:rsid w:val="00F30C44"/>
    <w:rsid w:val="00F40361"/>
    <w:rsid w:val="00F50C96"/>
    <w:rsid w:val="00F726DE"/>
    <w:rsid w:val="00F76DD2"/>
    <w:rsid w:val="00F87D08"/>
    <w:rsid w:val="00F921ED"/>
    <w:rsid w:val="00FB41F5"/>
    <w:rsid w:val="00FC6347"/>
    <w:rsid w:val="00FC693F"/>
    <w:rsid w:val="00FE0277"/>
    <w:rsid w:val="00FE56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64D4B1E-C85D-4267-9D07-224891F7C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1"/>
      <w:lang w:val="en-GB"/>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F559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80" w:after="60"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Note">
    <w:name w:val="Table Note"/>
    <w:pPr>
      <w:spacing w:after="80" w:line="240" w:lineRule="auto"/>
    </w:pPr>
    <w:rPr>
      <w:rFonts w:ascii="Arial" w:hAnsi="Arial"/>
      <w:color w:val="666666"/>
      <w:sz w:val="16"/>
    </w:rPr>
  </w:style>
  <w:style w:type="paragraph" w:customStyle="1" w:styleId="Equation">
    <w:name w:val="Equation"/>
    <w:pPr>
      <w:spacing w:after="80"/>
    </w:pPr>
    <w:rPr>
      <w:rFonts w:ascii="Arial" w:hAnsi="Arial"/>
      <w:color w:val="000000"/>
      <w:sz w:val="21"/>
    </w:rPr>
  </w:style>
  <w:style w:type="paragraph" w:customStyle="1" w:styleId="AbstractText">
    <w:name w:val="Abstract Text"/>
    <w:pPr>
      <w:spacing w:after="80"/>
    </w:pPr>
    <w:rPr>
      <w:rFonts w:ascii="Arial" w:hAnsi="Arial"/>
      <w:color w:val="00000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15</Pages>
  <Words>4633</Words>
  <Characters>26412</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and Shock Resilience: Indications from Euro Area Economies</dc:title>
  <dc:subject>Updated research article based on the 2011–2025 slide-deck evidence</dc:subject>
  <dc:creator>python-docx</dc:creator>
  <cp:keywords>AI, ICT, resilience, growth surprises, euro area, LPM, correlated random effects probit</cp:keywords>
  <dc:description>generated by python-docx</dc:description>
  <cp:lastModifiedBy>Jan Willem van den End</cp:lastModifiedBy>
  <cp:revision>251</cp:revision>
  <dcterms:created xsi:type="dcterms:W3CDTF">2013-12-23T23:15:00Z</dcterms:created>
  <dcterms:modified xsi:type="dcterms:W3CDTF">2026-10-11T19:50:00Z</dcterms:modified>
  <cp:category/>
</cp:coreProperties>
</file>