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 Prophet na pesquisa</w:t>
      </w:r>
    </w:p>
    <w:p>
      <w:pPr>
        <w:spacing w:after="80" w:before="0" w:line="276"/>
      </w:pPr>
      <w:r>
        <w:rPr>
          <w:color w:val="595959"/>
          <w:sz w:val="24"/>
          <w:szCs w:val="24"/>
        </w:rPr>
        <w:t xml:space="preserve">O que ele usou, em que papéis, em que janela — e quanto daria em reais</w:t>
      </w:r>
    </w:p>
    <w:p>
      <w:pPr>
        <w:spacing w:after="240" w:before="0" w:line="276"/>
      </w:pPr>
      <w:r>
        <w:rPr>
          <w:color w:val="595959"/>
          <w:sz w:val="17"/>
          <w:szCs w:val="17"/>
        </w:rPr>
        <w:t xml:space="preserve">Vanderlei Barbosa da Silva · PPGIa/PUCPR · Para os Profs. Emerson Paraiso e Julio Nievola · 23 de outubro de 2026</w:t>
      </w:r>
    </w:p>
    <w:p>
      <w:pPr>
        <w:pStyle w:val="Heading1"/>
        <w:keepNext/>
        <w:pBdr>
          <w:bottom w:val="single" w:color="1F3864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O que o Prophet usou para fazer as projeções</w:t>
      </w:r>
    </w:p>
    <w:p>
      <w:pPr>
        <w:spacing w:after="120" w:before="0" w:line="276"/>
      </w:pPr>
      <w:r>
        <w:rPr>
          <w:sz w:val="21"/>
          <w:szCs w:val="21"/>
        </w:rPr>
        <w:t xml:space="preserve">Antes de tudo, a distinção que motivou todo o experimento: </w:t>
      </w:r>
      <w:r>
        <w:rPr>
          <w:b/>
          <w:bCs/>
          <w:sz w:val="21"/>
          <w:szCs w:val="21"/>
        </w:rPr>
        <w:t xml:space="preserve">o Prophet não lê texto.</w:t>
      </w:r>
      <w:r>
        <w:rPr>
          <w:sz w:val="21"/>
          <w:szCs w:val="21"/>
        </w:rPr>
        <w:t xml:space="preserve"> Ele é uma biblioteca de previsão de série temporal (Taylor e Letham, 2018, do Meta/Facebook) — projeta números ao longo do tempo. Quem lê e classifica os comunicados continua sendo o FinBERT-PT-BR. O Prophet entrou como </w:t>
      </w:r>
      <w:r>
        <w:rPr>
          <w:b/>
          <w:bCs/>
          <w:sz w:val="21"/>
          <w:szCs w:val="21"/>
        </w:rPr>
        <w:t xml:space="preserve">mais um método de previsão</w:t>
      </w:r>
      <w:r>
        <w:rPr>
          <w:sz w:val="21"/>
          <w:szCs w:val="21"/>
        </w:rPr>
        <w:t xml:space="preserve">, não como substituto do classificador.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 que entrou como insumo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A data e o histórico da própria série que ele deveria prever</w:t>
      </w:r>
      <w:r>
        <w:rPr>
          <w:sz w:val="21"/>
          <w:szCs w:val="21"/>
        </w:rPr>
        <w:t xml:space="preserve"> — o preço de fechamento, num caso, e a volatilidade condicional do GARCH(1,1) do próprio papel, no outro.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Tendência e sazonalidade</w:t>
      </w:r>
      <w:r>
        <w:rPr>
          <w:sz w:val="21"/>
          <w:szCs w:val="21"/>
        </w:rPr>
        <w:t xml:space="preserve">, que o Prophet estima sozinho: tendência linear por partes com pontos de mudança, sazonalidade semanal e anual. A sazonalidade diária foi desligada (não faz sentido em dado de pregão).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Numa segunda versão, o sentimento dos comunicados da CVM como variável regressora</w:t>
      </w:r>
      <w:r>
        <w:rPr>
          <w:sz w:val="21"/>
          <w:szCs w:val="21"/>
        </w:rPr>
        <w:t xml:space="preserve"> — a média de (probabilidade positiva − probabilidade negativa) que o FinBERT já tinha atribuído aos comunicados entregues após as 17h, associada ao pregão que podia reagir a eles.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 que NÃO entrou, e é importante dizer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Notícia de jornal.</w:t>
      </w:r>
      <w:r>
        <w:rPr>
          <w:sz w:val="21"/>
          <w:szCs w:val="21"/>
        </w:rPr>
        <w:t xml:space="preserve"> Não entrou em nenhum dos 10 papéis — o corpus classificado não está disponível nesta máquina. Vale para o Prophet e para os modelos clássicos igualmente.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Os atributos de preço defasados</w:t>
      </w:r>
      <w:r>
        <w:rPr>
          <w:sz w:val="21"/>
          <w:szCs w:val="21"/>
        </w:rPr>
        <w:t xml:space="preserve"> (retorno de ontem, volatilidade de ontem) que alimentam o SVM e o XGBoost. O Prophet não os recebe porque não é assim que ele funciona: ele consome a série inteira e decompõe. </w:t>
      </w:r>
      <w:r>
        <w:rPr>
          <w:b/>
          <w:bCs/>
          <w:sz w:val="21"/>
          <w:szCs w:val="21"/>
        </w:rPr>
        <w:t xml:space="preserve">Isso é uma assimetria real entre os métodos</w:t>
      </w:r>
      <w:r>
        <w:rPr>
          <w:sz w:val="21"/>
          <w:szCs w:val="21"/>
        </w:rPr>
        <w:t xml:space="preserve">, e não um descuido — é a diferença de desenho que o experimento justamente pretendia testar.</w:t>
      </w:r>
    </w:p>
    <w:p>
      <w:pPr>
        <w:pStyle w:val="Heading1"/>
        <w:keepNext/>
        <w:pBdr>
          <w:bottom w:val="single" w:color="1F3864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Quais papéis, e por quê</w:t>
      </w:r>
    </w:p>
    <w:p>
      <w:pPr>
        <w:spacing w:after="120" w:before="0" w:line="276"/>
      </w:pPr>
      <w:r>
        <w:rPr>
          <w:sz w:val="21"/>
          <w:szCs w:val="21"/>
        </w:rPr>
        <w:t xml:space="preserve">Os </w:t>
      </w:r>
      <w:r>
        <w:rPr>
          <w:b/>
          <w:bCs/>
          <w:sz w:val="21"/>
          <w:szCs w:val="21"/>
        </w:rPr>
        <w:t xml:space="preserve">10 papéis de maior peso na carteira teórica oficial do Ibovespa</w:t>
      </w:r>
      <w:r>
        <w:rPr>
          <w:sz w:val="21"/>
          <w:szCs w:val="21"/>
        </w:rPr>
        <w:t xml:space="preserve"> (fonte: B3, consultada em 02/10/2026), </w:t>
      </w:r>
      <w:r>
        <w:rPr>
          <w:b/>
          <w:bCs/>
          <w:sz w:val="21"/>
          <w:szCs w:val="21"/>
        </w:rPr>
        <w:t xml:space="preserve">restritos aos que já fazem parte desta pesquisa</w:t>
      </w:r>
      <w:r>
        <w:rPr>
          <w:sz w:val="21"/>
          <w:szCs w:val="21"/>
        </w:rPr>
        <w:t xml:space="preserve"> — isto é, que já têm comunicados da CVM coletados e classificados pelo FinBERT, e preço coletado.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38"/>
        <w:gridCol w:w="300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Papel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Empresa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Peso no Ibovespa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VALE3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VALE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9,88%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ITUB4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ITAUUNIBANCO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8,98%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PETR4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PETROBRAS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8,37%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SBSP3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SABESP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3,69%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BBDC4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BRADESCO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3,61%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B3SA3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B3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3,52%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ITSA4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ITAUSA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3,28%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BPAC11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BTGP BANCO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2,90%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BBAS3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BRASIL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2,50%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ABEV3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AMBEV S/A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2,38%</w:t>
            </w:r>
          </w:p>
        </w:tc>
      </w:tr>
    </w:tbl>
    <w:p>
      <w:pPr>
        <w:spacing w:after="180" w:before="60" w:line="276"/>
      </w:pPr>
      <w:r>
        <w:rPr>
          <w:i/>
          <w:iCs/>
          <w:color w:val="595959"/>
          <w:sz w:val="16"/>
          <w:szCs w:val="16"/>
        </w:rPr>
        <w:t xml:space="preserve">Fonte: B3, carteira teórica do Ibovespa, data-base 02/10/2026.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O critério é objetivo e verificável</w:t>
      </w:r>
      <w:r>
        <w:rPr>
          <w:sz w:val="21"/>
          <w:szCs w:val="21"/>
        </w:rPr>
        <w:t xml:space="preserve"> — peso no índice, não escolha pessoal. E é restrito ao que já estava coletado porque incluir outros exigiria coletar e classificar comunicados da CVM do zero.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Ficaram de fora, por falta de dado coletado:</w:t>
      </w:r>
      <w:r>
        <w:rPr>
          <w:sz w:val="21"/>
          <w:szCs w:val="21"/>
        </w:rPr>
        <w:t xml:space="preserve"> WEGE3, AXIA3 (a ex-Eletrobras, que trocou de ticker), EMBJ3 (Embraer), CPLE3 (Copel) e ENEV3 (Eneva). Se os senhores quiserem esses nomes especificamente, é coleta nova.</w:t>
      </w:r>
    </w:p>
    <w:p>
      <w:pPr>
        <w:pStyle w:val="Heading1"/>
        <w:keepNext/>
        <w:pBdr>
          <w:bottom w:val="single" w:color="1F3864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A janela de tempo</w:t>
      </w:r>
    </w:p>
    <w:p>
      <w:pPr>
        <w:spacing w:after="120" w:before="0" w:line="276"/>
      </w:pPr>
      <w:r>
        <w:rPr>
          <w:sz w:val="21"/>
          <w:szCs w:val="21"/>
        </w:rPr>
        <w:t xml:space="preserve">Mesma divisão usada em todo o Capítulo 4 da dissertação, </w:t>
      </w:r>
      <w:r>
        <w:rPr>
          <w:b/>
          <w:bCs/>
          <w:sz w:val="21"/>
          <w:szCs w:val="21"/>
        </w:rPr>
        <w:t xml:space="preserve">estritamente cronológica, sem embaralhar</w:t>
      </w:r>
      <w:r>
        <w:rPr>
          <w:sz w:val="21"/>
          <w:szCs w:val="21"/>
        </w:rPr>
        <w:t xml:space="preserve"> — 60% treino, 15% validação, 25% teste: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100"/>
        <w:gridCol w:w="3638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Conjunto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Até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Pregões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Treino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05/06/2017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28/12/2022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1.388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o modelo aprende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Validação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29/12/2022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22/05/2024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347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ajuste de escolhas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Teste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23/05/2024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15/09/2026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579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medição final, intocado</w:t>
            </w:r>
          </w:p>
        </w:tc>
      </w:tr>
    </w:tbl>
    <w:p>
      <w:pPr>
        <w:spacing w:after="180" w:before="60" w:line="276"/>
      </w:pPr>
      <w:r>
        <w:rPr>
          <w:i/>
          <w:iCs/>
          <w:color w:val="595959"/>
          <w:sz w:val="16"/>
          <w:szCs w:val="16"/>
        </w:rPr>
        <w:t xml:space="preserve">Os números são da PETR4; os demais papéis têm a mesma extensão (2.314 pregões cada) porque a coleta de preço cobre o mesmo período para todos.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Uma diferença de tratamento que precisa ficar registrada.</w:t>
      </w:r>
      <w:r>
        <w:rPr>
          <w:sz w:val="21"/>
          <w:szCs w:val="21"/>
        </w:rPr>
        <w:t xml:space="preserve"> O SVM, o XGBoost e o HAR são ajustados </w:t>
      </w:r>
      <w:r>
        <w:rPr>
          <w:b/>
          <w:bCs/>
          <w:sz w:val="21"/>
          <w:szCs w:val="21"/>
        </w:rPr>
        <w:t xml:space="preserve">uma única vez</w:t>
      </w:r>
      <w:r>
        <w:rPr>
          <w:sz w:val="21"/>
          <w:szCs w:val="21"/>
        </w:rPr>
        <w:t xml:space="preserve"> (sobre treino + validação) e aplicados ao teste inteiro. O Prophet é </w:t>
      </w:r>
      <w:r>
        <w:rPr>
          <w:b/>
          <w:bCs/>
          <w:sz w:val="21"/>
          <w:szCs w:val="21"/>
        </w:rPr>
        <w:t xml:space="preserve">reajustado a cada 21 pregões</w:t>
      </w:r>
      <w:r>
        <w:rPr>
          <w:sz w:val="21"/>
          <w:szCs w:val="21"/>
        </w:rPr>
        <w:t xml:space="preserve">, em janela expansiva, prevendo no máximo um mês à frente de cada vez.</w:t>
      </w:r>
    </w:p>
    <w:p>
      <w:pPr>
        <w:spacing w:after="120" w:before="0" w:line="276"/>
      </w:pPr>
      <w:r>
        <w:rPr>
          <w:sz w:val="21"/>
          <w:szCs w:val="21"/>
        </w:rPr>
        <w:t xml:space="preserve">O motivo: na primeira execução o Prophet foi ajustado uma vez só e instado a prever os 579 pregões de uma vez — quase dois anos sem se reancorar. A tendência divergiu e o erro ficou duas ordens de grandeza acima de qualquer referência. </w:t>
      </w:r>
      <w:r>
        <w:rPr>
          <w:b/>
          <w:bCs/>
          <w:sz w:val="21"/>
          <w:szCs w:val="21"/>
        </w:rPr>
        <w:t xml:space="preserve">Não era o Prophet sendo ruim; era um resultado degenerado, sem valor informativo.</w:t>
      </w:r>
      <w:r>
        <w:rPr>
          <w:sz w:val="21"/>
          <w:szCs w:val="21"/>
        </w:rPr>
        <w:t xml:space="preserve"> O reajuste periódico corrige isso.</w:t>
      </w:r>
    </w:p>
    <w:p>
      <w:pPr>
        <w:pStyle w:val="Heading1"/>
        <w:keepNext/>
        <w:pBdr>
          <w:bottom w:val="single" w:color="1F3864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O resultado do experimento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 régua justa, e por que ela precisou ser construída</w:t>
      </w:r>
    </w:p>
    <w:p>
      <w:pPr>
        <w:spacing w:after="120" w:before="0" w:line="276"/>
      </w:pPr>
      <w:r>
        <w:rPr>
          <w:sz w:val="21"/>
          <w:szCs w:val="21"/>
        </w:rPr>
        <w:t xml:space="preserve">A comparação original era </w:t>
      </w:r>
      <w:r>
        <w:rPr>
          <w:b/>
          <w:bCs/>
          <w:sz w:val="21"/>
          <w:szCs w:val="21"/>
        </w:rPr>
        <w:t xml:space="preserve">desleal com o Prophet</w:t>
      </w:r>
      <w:r>
        <w:rPr>
          <w:sz w:val="21"/>
          <w:szCs w:val="21"/>
        </w:rPr>
        <w:t xml:space="preserve">, e isso foi corrigido antes de reportar. A previsão ingênua ("repete o fechamento de ontem") enxerga o preço de ontem em </w:t>
      </w:r>
      <w:r>
        <w:rPr>
          <w:b/>
          <w:bCs/>
          <w:sz w:val="21"/>
          <w:szCs w:val="21"/>
        </w:rPr>
        <w:t xml:space="preserve">todo</w:t>
      </w:r>
      <w:r>
        <w:rPr>
          <w:sz w:val="21"/>
          <w:szCs w:val="21"/>
        </w:rPr>
        <w:t xml:space="preserve"> dia do teste. O Prophet, no 21º dia de um bloco, ainda opera sobre o que sabia </w:t>
      </w:r>
      <w:r>
        <w:rPr>
          <w:b/>
          <w:bCs/>
          <w:sz w:val="21"/>
          <w:szCs w:val="21"/>
        </w:rPr>
        <w:t xml:space="preserve">três semanas antes</w:t>
      </w:r>
      <w:r>
        <w:rPr>
          <w:sz w:val="21"/>
          <w:szCs w:val="21"/>
        </w:rPr>
        <w:t xml:space="preserve">. Comparar os dois assim é comparar quem responde com a notícia de ontem contra quem responde com a do mês passado.</w:t>
      </w:r>
    </w:p>
    <w:p>
      <w:pPr>
        <w:spacing w:after="120" w:before="0" w:line="276"/>
      </w:pPr>
      <w:r>
        <w:rPr>
          <w:sz w:val="21"/>
          <w:szCs w:val="21"/>
        </w:rPr>
        <w:t xml:space="preserve">Por isso existe a </w:t>
      </w:r>
      <w:r>
        <w:rPr>
          <w:b/>
          <w:bCs/>
          <w:sz w:val="21"/>
          <w:szCs w:val="21"/>
        </w:rPr>
        <w:t xml:space="preserve">régua ancorada</w:t>
      </w:r>
      <w:r>
        <w:rPr>
          <w:sz w:val="21"/>
          <w:szCs w:val="21"/>
        </w:rPr>
        <w:t xml:space="preserve">: ela segura o último valor conhecido antes do bloco, pelo bloco inteiro — exatamente a mesma informação do Prophet. </w:t>
      </w:r>
      <w:r>
        <w:rPr>
          <w:b/>
          <w:bCs/>
          <w:sz w:val="21"/>
          <w:szCs w:val="21"/>
        </w:rPr>
        <w:t xml:space="preserve">É contra ela que o Prophet deve ser julgado.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Direção do pregão seguinte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100"/>
        <w:gridCol w:w="2000"/>
        <w:gridCol w:w="21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Papel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Classe majoritária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Melhor clássico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Prophet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Prophet prevê alta em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VALE3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50,60%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50,78%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50,26%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26,1%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ITUB4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53,37%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48,70%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49,91%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42,3%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PETR4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53,20%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51,81%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47,67%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67,2%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SBSP3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50,78%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49,57%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50,26%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44,9%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BBDC4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52,16%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50,95%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46,29%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39,9%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B3SA3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50,60%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52,33%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48,88%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37,8%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ITSA4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51,81%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51,64%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51,12%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39,2%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BPAC11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52,68%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52,16%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46,46%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49,9%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BBAS3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50,26%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50,60%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50,95%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73,1%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ABEV3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50,09%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53,20%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50,09%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32,5%</w:t>
            </w:r>
          </w:p>
        </w:tc>
      </w:tr>
    </w:tbl>
    <w:p>
      <w:pPr>
        <w:spacing w:after="180" w:before="60" w:line="276"/>
      </w:pPr>
      <w:r>
        <w:rPr>
          <w:i/>
          <w:iCs/>
          <w:color w:val="595959"/>
          <w:sz w:val="16"/>
          <w:szCs w:val="16"/>
        </w:rPr>
        <w:t xml:space="preserve">A última coluna é diagnóstico: um previsor que aponte sempre o mesmo lado reproduz a classe majoritária sem conter informação alguma.</w:t>
      </w:r>
    </w:p>
    <w:p>
      <w:pPr>
        <w:spacing w:after="120" w:before="0" w:line="276"/>
      </w:pPr>
      <w:r>
        <w:rPr>
          <w:sz w:val="21"/>
          <w:szCs w:val="21"/>
        </w:rPr>
        <w:t xml:space="preserve">O Prophet ficou abaixo do melhor modelo clássico em </w:t>
      </w:r>
      <w:r>
        <w:rPr>
          <w:b/>
          <w:bCs/>
          <w:sz w:val="21"/>
          <w:szCs w:val="21"/>
        </w:rPr>
        <w:t xml:space="preserve">7 dos 10 papéis</w:t>
      </w:r>
      <w:r>
        <w:rPr>
          <w:sz w:val="21"/>
          <w:szCs w:val="21"/>
        </w:rPr>
        <w:t xml:space="preserve">. Mas o ponto que importa mais: </w:t>
      </w:r>
      <w:r>
        <w:rPr>
          <w:b/>
          <w:bCs/>
          <w:sz w:val="21"/>
          <w:szCs w:val="21"/>
        </w:rPr>
        <w:t xml:space="preserve">nenhum dos dois se distingue de forma confiável do palpite da classe majoritária</w:t>
      </w:r>
      <w:r>
        <w:rPr>
          <w:sz w:val="21"/>
          <w:szCs w:val="21"/>
        </w:rPr>
        <w:t xml:space="preserve"> — o que reitera, por outra via, a conclusão que o capítulo já sustentava.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Volatilidade e preço, contra a régua justa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600"/>
        <w:gridCol w:w="2738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Papel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Prophet — volatilidade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Prophet — preço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Persistência diária (preço)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VALE3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−95,6%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−609,5%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+91,7%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ITUB4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−255,9%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−222,6%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+92,9%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PETR4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−160,3%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−532,8%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+93,3%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SBSP3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−155,5%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−208,6%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+92,0%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BBDC4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−47,5%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−515,3%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+92,3%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B3SA3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−88,7%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−380,9%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+90,5%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ITSA4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−254,5%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−330,5%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+92,1%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BPAC11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−73,7%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−484,3%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+91,2%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BBAS3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−76,5%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−306,1%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+91,3%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ABEV3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−48,7%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−179,6%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+93,9%</w:t>
            </w:r>
          </w:p>
        </w:tc>
      </w:tr>
    </w:tbl>
    <w:p>
      <w:pPr>
        <w:spacing w:after="180" w:before="60" w:line="276"/>
      </w:pPr>
      <w:r>
        <w:rPr>
          <w:i/>
          <w:iCs/>
          <w:color w:val="595959"/>
          <w:sz w:val="16"/>
          <w:szCs w:val="16"/>
        </w:rPr>
        <w:t xml:space="preserve">R²-OS: redução do erro quadrático contra a régua ancorada. Negativo = pior que simplesmente manter o último valor conhecido. A última coluna mede o valor de se reatualizar todo dia — não a qualidade de um modelo.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O resultado é inequívoco e negativo: em 10 de 10 papéis, nos dois alvos, o Prophet erra mais do que simplesmente não fazer nada</w:t>
      </w:r>
      <w:r>
        <w:rPr>
          <w:sz w:val="21"/>
          <w:szCs w:val="21"/>
        </w:rPr>
        <w:t xml:space="preserve">, dispondo da mesma informação. Extrapolar tendência, que é a força do Prophet em séries de negócio, vira passivo em preço de ação — a inclinação estimada no passado recente em geral já virou antes de o bloco de previsão terminar.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E há um achado embutido na última coluna</w:t>
      </w:r>
      <w:r>
        <w:rPr>
          <w:sz w:val="21"/>
          <w:szCs w:val="21"/>
        </w:rPr>
        <w:t xml:space="preserve">, que responde a pergunta feita na mentoria de 12/10 sobre quando o esforço computacional se justifica: só reatualizar todo dia, em vez de uma vez por mês, vale de </w:t>
      </w:r>
      <w:r>
        <w:rPr>
          <w:b/>
          <w:bCs/>
          <w:sz w:val="21"/>
          <w:szCs w:val="21"/>
        </w:rPr>
        <w:t xml:space="preserve">+90% a +94%</w:t>
      </w:r>
      <w:r>
        <w:rPr>
          <w:sz w:val="21"/>
          <w:szCs w:val="21"/>
        </w:rPr>
        <w:t xml:space="preserve">. Nesta base, </w:t>
      </w:r>
      <w:r>
        <w:rPr>
          <w:b/>
          <w:bCs/>
          <w:sz w:val="21"/>
          <w:szCs w:val="21"/>
        </w:rPr>
        <w:t xml:space="preserve">a frequência de reancoragem pesa muito mais que a sofisticação do modelo.</w:t>
      </w:r>
      <w:r>
        <w:rPr>
          <w:sz w:val="21"/>
          <w:szCs w:val="21"/>
        </w:rPr>
        <w:t xml:space="preserve"> Reajustar o Prophet diariamente custaria cerca de 21 vezes mais processamento (≈1,3 s por ajuste) para disputar com uma régua que é de graça.</w:t>
      </w:r>
    </w:p>
    <w:p>
      <w:pPr>
        <w:pStyle w:val="Heading1"/>
        <w:keepNext/>
        <w:pBdr>
          <w:bottom w:val="single" w:color="1F3864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Quanto isso daria em reais, por investidor</w:t>
      </w:r>
    </w:p>
    <w:p>
      <w:pPr>
        <w:spacing w:after="120" w:before="0" w:line="276"/>
      </w:pPr>
      <w:r>
        <w:rPr>
          <w:sz w:val="21"/>
          <w:szCs w:val="21"/>
        </w:rPr>
        <w:t xml:space="preserve">Aplicando as decisões de cada modelo sobre o </w:t>
      </w:r>
      <w:r>
        <w:rPr>
          <w:b/>
          <w:bCs/>
          <w:sz w:val="21"/>
          <w:szCs w:val="21"/>
        </w:rPr>
        <w:t xml:space="preserve">valor médio investido por investidor</w:t>
      </w:r>
      <w:r>
        <w:rPr>
          <w:sz w:val="21"/>
          <w:szCs w:val="21"/>
        </w:rPr>
        <w:t xml:space="preserve"> de cada papel (ações em circulação ÷ número de acionistas, do Formulário de Referência da CVM, × preço), ao longo dos 579 pregões de teste. Regra: </w:t>
      </w:r>
      <w:r>
        <w:rPr>
          <w:b/>
          <w:bCs/>
          <w:sz w:val="21"/>
          <w:szCs w:val="21"/>
        </w:rPr>
        <w:t xml:space="preserve">comprado quando prevê alta, fora do mercado quando prevê baixa</w:t>
      </w:r>
      <w:r>
        <w:rPr>
          <w:sz w:val="21"/>
          <w:szCs w:val="21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100"/>
        <w:gridCol w:w="1919"/>
        <w:gridCol w:w="1919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Papel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Valor investido (médio)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Comprar e segurar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Melhor clássico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Prophet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VALE3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R$ 408.786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+R$ 118.998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+R$ 147.528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+R$ 46.469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ITUB4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R$ 370.219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+R$ 253.007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+R$ 40.854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+R$ 92.101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PETR4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R$ 336.098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+R$ 238.596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+R$ 228.098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+R$ 38.611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SBSP3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R$ 1.566.111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+R$ 1.270.272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+R$ 1.122.325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+R$ 600.067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BBDC4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R$ 135.402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+R$ 79.684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−R$ 5.185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−R$ 1.299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B3SA3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R$ 294.452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+R$ 150.494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+R$ 186.984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+R$ 60.233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ITSA4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R$ 108.099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+R$ 82.879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+R$ 18.465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+R$ 45.933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BPAC11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R$ 1.728.873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+R$ 1.303.743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+R$ 830.119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+R$ 26.948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BBAS3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R$ 40.390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−R$ 5.933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−R$ 681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+R$ 9.649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ABEV3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R$ 298.478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+R$ 121.570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+R$ 77.179</w:t>
            </w:r>
          </w:p>
        </w:tc>
        <w:tc>
          <w:tcPr>
            <w:tcW w:type="dxa" w:w="1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+R$ 30.948</w:t>
            </w:r>
          </w:p>
        </w:tc>
      </w:tr>
    </w:tbl>
    <w:p>
      <w:pPr>
        <w:spacing w:after="180" w:before="60" w:line="276"/>
      </w:pPr>
      <w:r>
        <w:rPr>
          <w:i/>
          <w:iCs/>
          <w:color w:val="595959"/>
          <w:sz w:val="16"/>
          <w:szCs w:val="16"/>
        </w:rPr>
        <w:t xml:space="preserve">Resultado acumulado nos 579 pregões de teste (23/05/2024 a 15/09/2026), sobre o valor médio investido por investidor de cada papel.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A ressalva, que precisa ser dita junto com o número:</w:t>
      </w:r>
      <w:r>
        <w:rPr>
          <w:sz w:val="21"/>
          <w:szCs w:val="21"/>
        </w:rPr>
        <w:t xml:space="preserve"> esta simulação </w:t>
      </w:r>
      <w:r>
        <w:rPr>
          <w:b/>
          <w:bCs/>
          <w:sz w:val="21"/>
          <w:szCs w:val="21"/>
        </w:rPr>
        <w:t xml:space="preserve">não inclui</w:t>
      </w:r>
      <w:r>
        <w:rPr>
          <w:sz w:val="21"/>
          <w:szCs w:val="21"/>
        </w:rPr>
        <w:t xml:space="preserve"> corretagem, emolumentos, imposto de renda nem spread de compra e venda, e ignora o efeito de entrar e sair do mercado dezenas de vezes. E, sobretudo: </w:t>
      </w:r>
      <w:r>
        <w:rPr>
          <w:b/>
          <w:bCs/>
          <w:sz w:val="21"/>
          <w:szCs w:val="21"/>
        </w:rPr>
        <w:t xml:space="preserve">com o acerto direcional dos modelos perto de cara-ou-coroa, o resultado em reais é em boa parte sorte, não habilidade.</w:t>
      </w:r>
      <w:r>
        <w:rPr>
          <w:sz w:val="21"/>
          <w:szCs w:val="21"/>
        </w:rPr>
        <w:t xml:space="preserve"> O número serve para dar ordem de grandeza, não para sustentar recomendação.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A leitura honesta da tabela é a comparação com "comprar e segurar"</w:t>
      </w:r>
      <w:r>
        <w:rPr>
          <w:sz w:val="21"/>
          <w:szCs w:val="21"/>
        </w:rPr>
        <w:t xml:space="preserve"> — o que o investidor faria sem modelo algum, sem custo e sem trabalho.</w:t>
      </w:r>
    </w:p>
    <w:p>
      <w:pPr>
        <w:pStyle w:val="Heading1"/>
        <w:keepNext/>
        <w:pBdr>
          <w:bottom w:val="single" w:color="1F3864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 que isso significa para a dissertação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O contraponto não enfraquece o arranjo da pesquisa; ele o delimita.</w:t>
      </w:r>
      <w:r>
        <w:rPr>
          <w:sz w:val="21"/>
          <w:szCs w:val="21"/>
        </w:rPr>
        <w:t xml:space="preserve"> O HAR e os classificadores sobre atributos defasados não são preferidos por sofisticação, e sim porque operam sobre o dado da véspera em vez de projetar tendência.</w:t>
      </w:r>
    </w:p>
    <w:p>
      <w:pPr>
        <w:spacing w:after="120" w:before="0" w:line="276"/>
      </w:pPr>
      <w:r>
        <w:rPr>
          <w:sz w:val="21"/>
          <w:szCs w:val="21"/>
        </w:rPr>
        <w:t xml:space="preserve">E a conclusão central do capítulo </w:t>
      </w:r>
      <w:r>
        <w:rPr>
          <w:b/>
          <w:bCs/>
          <w:sz w:val="21"/>
          <w:szCs w:val="21"/>
        </w:rPr>
        <w:t xml:space="preserve">se manteve sob um método de previsão inteiramente distinto</w:t>
      </w:r>
      <w:r>
        <w:rPr>
          <w:sz w:val="21"/>
          <w:szCs w:val="21"/>
        </w:rPr>
        <w:t xml:space="preserve">, o que lhe acrescenta robustez: </w:t>
      </w:r>
      <w:r>
        <w:rPr>
          <w:b/>
          <w:bCs/>
          <w:sz w:val="21"/>
          <w:szCs w:val="21"/>
        </w:rPr>
        <w:t xml:space="preserve">o sentimento informa o risco, não a direção.</w:t>
      </w:r>
    </w:p>
    <w:p>
      <w:pPr>
        <w:spacing w:after="60" w:before="0" w:line="276"/>
      </w:pPr>
      <w:r>
        <w:rPr>
          <w:sz w:val="21"/>
          <w:szCs w:val="21"/>
        </w:rPr>
        <w:t xml:space="preserve">O experimento está escrito na dissertação como a seção 4p, "Um contraponto de série temporal: o Prophet", já ligada ao Capítulo 4, com a referência de Taylor e Letham (2018) na bibliografia. O validador do projeto confirma que compila.</w:t>
      </w:r>
    </w:p>
    <w:p>
      <w:pPr>
        <w:spacing w:after="180" w:before="60" w:line="276"/>
      </w:pPr>
      <w:r>
        <w:rPr>
          <w:i/>
          <w:iCs/>
          <w:color w:val="595959"/>
          <w:sz w:val="16"/>
          <w:szCs w:val="16"/>
        </w:rPr>
        <w:t xml:space="preserve">Código: CVM/23_prophet_vs_garch_svm_xgboost.py e CVM/24_simulacao_reais_por_investidor.py. Dados: CVM/dados/prophet_vs_garch_svm_xgboost.json. Planilha com todas as abas estatísticas: 02_Prophet_vs_GARCH_SVM_XGBoost.xlsx, nesta mesma pasta.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O Prophet na pesquisa — 23/10/2026</w:t>
    </w:r>
    <w:r>
      <w:rPr>
        <w:color w:val="595959"/>
        <w:sz w:val="16"/>
        <w:szCs w:val="16"/>
      </w:rPr>
      <w:tab/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Prophet na pesquisa — explicação e resultados</dc:title>
  <dc:creator>Vanderlei Barbosa da Silva</dc:creator>
  <cp:lastModifiedBy>Un-named</cp:lastModifiedBy>
  <cp:revision>1</cp:revision>
  <dcterms:created xsi:type="dcterms:W3CDTF">2026-10-23T18:43:08.488Z</dcterms:created>
  <dcterms:modified xsi:type="dcterms:W3CDTF">2026-10-23T18:43:08.489Z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