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Os dois times, explicado do zero</w:t>
      </w:r>
    </w:p>
    <w:p>
      <w:pPr>
        <w:spacing w:after="80" w:before="0" w:line="288"/>
      </w:pPr>
      <w:r>
        <w:rPr>
          <w:color w:val="595959"/>
          <w:sz w:val="25"/>
          <w:szCs w:val="25"/>
        </w:rPr>
        <w:t xml:space="preserve">FinBERT + GARCH/SVM/XGBoost  ×  FinBERT + Prophet — o que foi comparado, e o que deu</w:t>
      </w:r>
    </w:p>
    <w:p>
      <w:pPr>
        <w:spacing w:after="260" w:before="0" w:line="288"/>
      </w:pPr>
      <w:r>
        <w:rPr>
          <w:color w:val="595959"/>
          <w:sz w:val="18"/>
          <w:szCs w:val="18"/>
        </w:rPr>
        <w:t xml:space="preserve">Vanderlei Barbosa da Silva · PPGIa/PUCPR · Para os Profs. Emerson Paraiso e Julio Nievola · 24 de outubro de 2026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Primeiro: quem é quem</w:t>
      </w:r>
    </w:p>
    <w:p>
      <w:pPr>
        <w:spacing w:after="140" w:before="0" w:line="288"/>
      </w:pPr>
      <w:r>
        <w:rPr>
          <w:sz w:val="22"/>
          <w:szCs w:val="22"/>
        </w:rPr>
        <w:t xml:space="preserve">São quatro programas com funções diferentes. A confusão começa quando se trata todos como "o modelo" — eles fazem coisas distintas e não são intercambiáveis.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800"/>
        <w:gridCol w:w="3138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Programa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que ele faz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Uma comparação do dia a dia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FinBERT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Lê o texto do comunicado e diz se o tom é positivo, negativo ou neutro.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 leitor de jornal da equipe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Olha o histórico de agitação do preço e estima o quanto ele deve sacudir amanhã.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 meteorologista: não diz se chove, diz se o tempo está instável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SVM e XGBoost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Recebem os números e apostam: sobe ou desce.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os apostadores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Olha a curva do passado e prolonga a linha para a frente.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quem traça a reta no gráfico com a régua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O FinBERT é o único que lê texto. Os outros três só trabalham com números — é por isso que o Prophet não poderia "classificar notícias": ele não lê nada.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Em detalhe: o que cada um recebe e o que devolve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2900"/>
        <w:gridCol w:w="2538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Programa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que ele RECEBE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que ele DEVOLVE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Papel na nossa pesquisa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FinBERT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 texto do comunicado da CVM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um número de −1 a +1: quão positivo ou negativo é o tom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ingrediente — vira mais um número na mesa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 histórico de retornos do papel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um número: o quanto o preço deve sacudir amanhã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ingrediente — NÃO diz se sobe ou desce, só o tamanho do tranco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SVM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os números da véspera (retorno e agitação)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uma decisão: SOBE ou DESCE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decisor — é ele quem aposta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XGBoost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os mesmos números da véspera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uma decisão: SOBE ou DESCE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decisor — aposta igual ao SVM, por outro caminho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a série inteira de preços, com as datas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um valor previsto para o preço de amanhã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faz tudo sozinho — não precisa dos outros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"GARCH + SVM" não são dois concorrentes — são duas peças encaixadas</w:t>
      </w:r>
    </w:p>
    <w:p>
      <w:pPr>
        <w:spacing w:after="140" w:before="0" w:line="288"/>
      </w:pPr>
      <w:r>
        <w:rPr>
          <w:sz w:val="22"/>
          <w:szCs w:val="22"/>
        </w:rPr>
        <w:t xml:space="preserve">Esta é a confusão mais comum, e vale desfazer. </w:t>
      </w:r>
      <w:r>
        <w:rPr>
          <w:b/>
          <w:bCs/>
          <w:sz w:val="22"/>
          <w:szCs w:val="22"/>
        </w:rPr>
        <w:t xml:space="preserve">O GARCH não compete com o SVM. Ele alimenta o SVM.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sz w:val="22"/>
          <w:szCs w:val="22"/>
        </w:rPr>
        <w:t xml:space="preserve">Todo dia, o SVM recebe exatamente </w:t>
      </w:r>
      <w:r>
        <w:rPr>
          <w:b/>
          <w:bCs/>
          <w:sz w:val="22"/>
          <w:szCs w:val="22"/>
        </w:rPr>
        <w:t xml:space="preserve">dois números</w:t>
      </w:r>
      <w:r>
        <w:rPr>
          <w:sz w:val="22"/>
          <w:szCs w:val="22"/>
        </w:rPr>
        <w:t xml:space="preserve">: o retorno de ontem, e a agitação de ontem — e </w:t>
      </w:r>
      <w:r>
        <w:rPr>
          <w:b/>
          <w:bCs/>
          <w:sz w:val="22"/>
          <w:szCs w:val="22"/>
        </w:rPr>
        <w:t xml:space="preserve">essa segunda é o GARCH que calcula</w:t>
      </w:r>
      <w:r>
        <w:rPr>
          <w:sz w:val="22"/>
          <w:szCs w:val="22"/>
        </w:rPr>
        <w:t xml:space="preserve">. O SVM pega esses dois números e responde "sobe" ou "desce". Trocar SVM por XGBoost troca só quem decide; o GARCH continua sendo o mesmo ingrediente nos dois.</w:t>
      </w:r>
    </w:p>
    <w:p>
      <w:pPr>
        <w:spacing w:after="140" w:before="0" w:line="288"/>
      </w:pPr>
      <w:r>
        <w:rPr>
          <w:sz w:val="22"/>
          <w:szCs w:val="22"/>
        </w:rPr>
        <w:t xml:space="preserve">Por isso não existe "GARCH sozinho" prevendo direção nas tabelas — ele não faz isso. O GARCH sozinho aparece </w:t>
      </w:r>
      <w:r>
        <w:rPr>
          <w:b/>
          <w:bCs/>
          <w:sz w:val="22"/>
          <w:szCs w:val="22"/>
        </w:rPr>
        <w:t xml:space="preserve">só na previsão de volatilidade</w:t>
      </w:r>
      <w:r>
        <w:rPr>
          <w:sz w:val="22"/>
          <w:szCs w:val="22"/>
        </w:rPr>
        <w:t xml:space="preserve">, que é o que ele sabe fazer.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A diferença entre SVM e XGBoost</w:t>
      </w:r>
      <w:r>
        <w:rPr>
          <w:sz w:val="22"/>
          <w:szCs w:val="22"/>
        </w:rPr>
        <w:t xml:space="preserve"> está no jeito de decidir. O SVM traça uma fronteira separando os dias que subiram dos que caíram, e vê de que lado o dia de hoje cai. O XGBoost monta centenas de regrinhas simples ("se o retorno de ontem foi acima de tanto, então…"), cada uma corrigindo o erro da anterior, e faz todas votarem. Caminhos diferentes, mesma pergunta e mesma resposta.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E o Prophet é de outra natureza.</w:t>
      </w:r>
      <w:r>
        <w:rPr>
          <w:sz w:val="22"/>
          <w:szCs w:val="22"/>
        </w:rPr>
        <w:t xml:space="preserve"> Ele não recebe "os números da véspera" — ele recebe a série de preços inteira, separa o que é tendência do que é padrão de calendário, e prolonga. A direção, no caso dele, sai de comparar o preço que ele previu com o preço de ontem.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O que foi comparado</w:t>
      </w:r>
    </w:p>
    <w:p>
      <w:pPr>
        <w:spacing w:after="140" w:before="0" w:line="288"/>
      </w:pPr>
      <w:r>
        <w:rPr>
          <w:sz w:val="22"/>
          <w:szCs w:val="22"/>
        </w:rPr>
        <w:t xml:space="preserve">Dois times, com o mesmo leitor dos dois lados: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Time A — o que a pesquisa já usava:</w:t>
      </w:r>
      <w:r>
        <w:rPr>
          <w:sz w:val="22"/>
          <w:szCs w:val="22"/>
        </w:rPr>
        <w:t xml:space="preserve"> FinBERT lê os comunicados, o GARCH mede a agitação, e o SVM/XGBoost apostam.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Time B — o novo:</w:t>
      </w:r>
      <w:r>
        <w:rPr>
          <w:sz w:val="22"/>
          <w:szCs w:val="22"/>
        </w:rPr>
        <w:t xml:space="preserve"> FinBERT lê os comunicados, e o Prophet faz tudo o resto sozinho.</w:t>
      </w:r>
    </w:p>
    <w:p>
      <w:pPr>
        <w:spacing w:after="140" w:before="0" w:line="288"/>
      </w:pPr>
      <w:r>
        <w:rPr>
          <w:sz w:val="22"/>
          <w:szCs w:val="22"/>
        </w:rPr>
        <w:t xml:space="preserve">Os dois times jogaram </w:t>
      </w:r>
      <w:r>
        <w:rPr>
          <w:b/>
          <w:bCs/>
          <w:sz w:val="22"/>
          <w:szCs w:val="22"/>
        </w:rPr>
        <w:t xml:space="preserve">o mesmo campeonato</w:t>
      </w:r>
      <w:r>
        <w:rPr>
          <w:sz w:val="22"/>
          <w:szCs w:val="22"/>
        </w:rPr>
        <w:t xml:space="preserve">: as 10 maiores ações da bolsa, os mesmos 579 pregões de teste (de 23/05/2024 a 15/09/2026), que nenhum dos dois tinha visto antes.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Antes do resultado: contra quem eles jogam</w:t>
      </w:r>
    </w:p>
    <w:p>
      <w:pPr>
        <w:spacing w:after="140" w:before="0" w:line="288"/>
      </w:pPr>
      <w:r>
        <w:rPr>
          <w:sz w:val="22"/>
          <w:szCs w:val="22"/>
        </w:rPr>
        <w:t xml:space="preserve">Este é o ponto que mais confunde, e sem ele o resultado não faz sentido.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O adversário não é o acaso — é o palpite fixo.</w:t>
      </w:r>
      <w:r>
        <w:rPr>
          <w:sz w:val="22"/>
          <w:szCs w:val="22"/>
        </w:rPr>
        <w:t xml:space="preserve"> Se uma ação sobe em 53 de cada 100 pregões, então quem simplesmente disser "sobe" todo santo dia acerta 53%. Sem ler nada, sem calcular nada, sem trabalho. Para o modelo ter valor, ele precisa acertar </w:t>
      </w:r>
      <w:r>
        <w:rPr>
          <w:b/>
          <w:bCs/>
          <w:sz w:val="22"/>
          <w:szCs w:val="22"/>
        </w:rPr>
        <w:t xml:space="preserve">mais que isso</w:t>
      </w:r>
      <w:r>
        <w:rPr>
          <w:sz w:val="22"/>
          <w:szCs w:val="22"/>
        </w:rPr>
        <w:t xml:space="preserve">.</w:t>
      </w:r>
    </w:p>
    <w:p>
      <w:pPr>
        <w:spacing w:after="140" w:before="0" w:line="288"/>
      </w:pPr>
      <w:r>
        <w:rPr>
          <w:sz w:val="22"/>
          <w:szCs w:val="22"/>
        </w:rPr>
        <w:t xml:space="preserve">É por isso que ver "o modelo acertou 52%" não quer dizer nada sozinho. Se o palpite fixo acerta 53%, o modelo de 52% </w:t>
      </w:r>
      <w:r>
        <w:rPr>
          <w:b/>
          <w:bCs/>
          <w:sz w:val="22"/>
          <w:szCs w:val="22"/>
        </w:rPr>
        <w:t xml:space="preserve">perdeu</w:t>
      </w:r>
      <w:r>
        <w:rPr>
          <w:sz w:val="22"/>
          <w:szCs w:val="22"/>
        </w:rPr>
        <w:t xml:space="preserve"> — mesmo parecendo que acertou metade.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Atenção para não confundir:</w:t>
      </w:r>
      <w:r>
        <w:rPr>
          <w:sz w:val="22"/>
          <w:szCs w:val="22"/>
        </w:rPr>
        <w:t xml:space="preserve"> o palpite fixo </w:t>
      </w:r>
      <w:r>
        <w:rPr>
          <w:b/>
          <w:bCs/>
          <w:sz w:val="22"/>
          <w:szCs w:val="22"/>
        </w:rPr>
        <w:t xml:space="preserve">não</w:t>
      </w:r>
      <w:r>
        <w:rPr>
          <w:sz w:val="22"/>
          <w:szCs w:val="22"/>
        </w:rPr>
        <w:t xml:space="preserve"> é "o modelo que usa só o preço". São coisas diferentes, e as duas aparecem nas tabelas: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Palpite fixo</w:t>
      </w:r>
      <w:r>
        <w:rPr>
          <w:sz w:val="22"/>
          <w:szCs w:val="22"/>
        </w:rPr>
        <w:t xml:space="preserve"> — não é modelo nenhum. Não olha preço, não olha nada. Só repete sempre o mesmo lado.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"Só preço"</w:t>
      </w:r>
      <w:r>
        <w:rPr>
          <w:sz w:val="22"/>
          <w:szCs w:val="22"/>
        </w:rPr>
        <w:t xml:space="preserve"> — é um modelo de verdade: o SVM ou o XGBoost olhando o retorno de ontem e a agitação de ontem medida pelo GARCH. Ele calcula; o palpite fixo não.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 há duas versões do palpite fixo — por isso dois números</w:t>
      </w:r>
    </w:p>
    <w:p>
      <w:pPr>
        <w:spacing w:after="140" w:before="0" w:line="288"/>
      </w:pPr>
      <w:r>
        <w:rPr>
          <w:sz w:val="22"/>
          <w:szCs w:val="22"/>
        </w:rPr>
        <w:t xml:space="preserve">Esta distinção apareceu numa pergunta sua, e é justa — vale os senhores saberem dela: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500"/>
        <w:gridCol w:w="3038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Versão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Como escolhe o lado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É justo?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Com o gabarito na mão
(foi a que usei)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Olha o próprio período de teste, vê que lado foi mais frequente entre 2024 e 2026, e supõe que o investidor já sabia disso lá atrás.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É o adversário MAIS DIFÍCIL — equivale a conhecer o futuro. Usei de propósito.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Decidido no passado
(o realista)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Escolhe o lado olhando só até 2022 — o que se saberia de verdade — e aplica daí em diante, sem mudar.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É o adversário realista. Na média, 2,1 pontos mais fácil de vencer.</w:t>
            </w:r>
          </w:p>
        </w:tc>
      </w:tr>
    </w:tbl>
    <w:p>
      <w:pPr>
        <w:spacing w:after="140" w:before="0" w:line="288"/>
      </w:pPr>
      <w:r>
        <w:rPr>
          <w:sz w:val="22"/>
          <w:szCs w:val="22"/>
        </w:rPr>
        <w:t xml:space="preserve">Em 5 dos 10 papéis, o passado apontava </w:t>
      </w:r>
      <w:r>
        <w:rPr>
          <w:b/>
          <w:bCs/>
          <w:sz w:val="22"/>
          <w:szCs w:val="22"/>
        </w:rPr>
        <w:t xml:space="preserve">baixa</w:t>
      </w:r>
      <w:r>
        <w:rPr>
          <w:sz w:val="22"/>
          <w:szCs w:val="22"/>
        </w:rPr>
        <w:t xml:space="preserve"> e o teste veio </w:t>
      </w:r>
      <w:r>
        <w:rPr>
          <w:b/>
          <w:bCs/>
          <w:sz w:val="22"/>
          <w:szCs w:val="22"/>
        </w:rPr>
        <w:t xml:space="preserve">alta</w:t>
      </w:r>
      <w:r>
        <w:rPr>
          <w:sz w:val="22"/>
          <w:szCs w:val="22"/>
        </w:rPr>
        <w:t xml:space="preserve"> — quem seguisse o palpite realista teria apostado no lado errado e ficado abaixo de 50%.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E a conclusão muda com o adversário mais fácil? Não.</w:t>
      </w:r>
      <w:r>
        <w:rPr>
          <w:sz w:val="22"/>
          <w:szCs w:val="22"/>
        </w:rPr>
        <w:t xml:space="preserve"> Contra ele, os modelos passam em 6 ou 7 dos 10 papéis — mas só </w:t>
      </w:r>
      <w:r>
        <w:rPr>
          <w:b/>
          <w:bCs/>
          <w:sz w:val="22"/>
          <w:szCs w:val="22"/>
        </w:rPr>
        <w:t xml:space="preserve">um caso em sessenta</w:t>
      </w:r>
      <w:r>
        <w:rPr>
          <w:sz w:val="22"/>
          <w:szCs w:val="22"/>
        </w:rPr>
        <w:t xml:space="preserve"> alcança significância estatística. Com sessenta testes, o acaso sozinho já produziria uns três. Ou seja: continua sendo ruído, e a resposta vale nas duas réguas.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1 — o lado (sobe ou desce)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2250"/>
        <w:gridCol w:w="2250"/>
        <w:gridCol w:w="2438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Palpite fixo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A (FinBERT+GARCH)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B (FinBERT+Prophet)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Passou do palpite fixo?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VALE3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50,6%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49,0%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50,3%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ITUB4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53,4%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50,4%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49,9%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53,2%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52,2%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47,8%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SBSP3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50,8%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50,6%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50,3%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BBDC4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52,2%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49,4%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45,9%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B3SA3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50,6%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52,8%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48,9%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A, por pouco — sem significância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ITSA4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51,8%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51,5%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51,3%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BPAC11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52,7%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49,9%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46,6%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nenhum dos dois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BBAS3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50,3%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51,3%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50,8%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A e B, por pouco — sem significância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ABEV3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50,1%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52,5%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50,1%</w:t>
            </w:r>
          </w:p>
        </w:tc>
        <w:tc>
          <w:tcPr>
            <w:tcW w:type="dxa" w:w="2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A, por pouco — sem significância</w:t>
            </w:r>
          </w:p>
        </w:tc>
      </w:tr>
    </w:tbl>
    <w:p>
      <w:pPr>
        <w:spacing w:after="140" w:before="0" w:line="288"/>
      </w:pPr>
      <w:r>
        <w:rPr>
          <w:b/>
          <w:bCs/>
          <w:sz w:val="22"/>
          <w:szCs w:val="22"/>
        </w:rPr>
        <w:t xml:space="preserve">Nenhum dos dois times bateu o palpite fixo de forma confiável, em nenhuma das 10 ações.</w:t>
      </w:r>
      <w:r>
        <w:rPr>
          <w:sz w:val="22"/>
          <w:szCs w:val="22"/>
        </w:rPr>
        <w:t xml:space="preserve"> Nem o Time A, nem o Time B. Contando todas as combinações testadas, foram 60 tentativas e </w:t>
      </w:r>
      <w:r>
        <w:rPr>
          <w:b/>
          <w:bCs/>
          <w:sz w:val="22"/>
          <w:szCs w:val="22"/>
        </w:rPr>
        <w:t xml:space="preserve">zero</w:t>
      </w:r>
      <w:r>
        <w:rPr>
          <w:sz w:val="22"/>
          <w:szCs w:val="22"/>
        </w:rPr>
        <w:t xml:space="preserve"> resultados estatisticamente seguros.</w:t>
      </w:r>
    </w:p>
    <w:p>
      <w:pPr>
        <w:spacing w:after="140" w:before="0" w:line="288"/>
      </w:pPr>
      <w:r>
        <w:rPr>
          <w:sz w:val="22"/>
          <w:szCs w:val="22"/>
        </w:rPr>
        <w:t xml:space="preserve">Quando o Time A aparece à frente do Time B, a diferença é pequena demais para significar alguma coisa: com 579 pregões, qualquer diferença menor que cerca de </w:t>
      </w:r>
      <w:r>
        <w:rPr>
          <w:b/>
          <w:bCs/>
          <w:sz w:val="22"/>
          <w:szCs w:val="22"/>
        </w:rPr>
        <w:t xml:space="preserve">4 pontos percentuais</w:t>
      </w:r>
      <w:r>
        <w:rPr>
          <w:sz w:val="22"/>
          <w:szCs w:val="22"/>
        </w:rPr>
        <w:t xml:space="preserve"> cabe dentro da margem de erro.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2 — o tamanho do sacolejo (volatilidade)</w:t>
      </w:r>
    </w:p>
    <w:p>
      <w:pPr>
        <w:spacing w:after="140" w:before="0" w:line="288"/>
      </w:pPr>
      <w:r>
        <w:rPr>
          <w:sz w:val="22"/>
          <w:szCs w:val="22"/>
        </w:rPr>
        <w:t xml:space="preserve">Aqui os dois times se separam de verdade, e a diferença é grande.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3000"/>
        <w:gridCol w:w="1938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Ação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A (FinBERT+GARCH)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B (FinBERT+Prophet)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Vencedor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VALE3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88,3%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-96,8%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ITUB4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87,2%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-255,5%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87,7%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-159,4%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SBSP3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87,6%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-155,0%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BBDC4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86,3%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-48,4%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B3SA3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88,0%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-90,2%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ITSA4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85,6%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-264,8%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BPAC11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83,1%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-74,0%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BBAS3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86,0%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-72,1%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ABEV3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92,7%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-47,7%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Time A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Os números comparam cada time contra uma régua simples: segurar o último valor conhecido. Positivo = melhor que a régua. Negativo = pior do que não fazer nada.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O Time A acerta muito bem (entre +83% e +93%). O Time B erra mais do que simplesmente não fazer nada (todos negativos).</w:t>
      </w:r>
    </w:p>
    <w:p>
      <w:pPr>
        <w:spacing w:after="140" w:before="0" w:line="288"/>
      </w:pPr>
      <w:r>
        <w:rPr>
          <w:sz w:val="22"/>
          <w:szCs w:val="22"/>
        </w:rPr>
        <w:t xml:space="preserve">O motivo é a natureza do Prophet: ele funciona prolongando a tendência do passado. Isso é ótimo para prever a venda de sorvete no verão, que segue um padrão de calendário. Mas o preço de uma ação não segue padrão de calendário — a tendência das últimas semanas, na hora em que você a prolonga, em geral já virou.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3 — e o FinBERT, ajuda ou não?</w:t>
      </w:r>
    </w:p>
    <w:p>
      <w:pPr>
        <w:spacing w:after="140" w:before="0" w:line="288"/>
      </w:pPr>
      <w:r>
        <w:rPr>
          <w:sz w:val="22"/>
          <w:szCs w:val="22"/>
        </w:rPr>
        <w:t xml:space="preserve">Esta é </w:t>
      </w:r>
      <w:r>
        <w:rPr>
          <w:b/>
          <w:bCs/>
          <w:sz w:val="22"/>
          <w:szCs w:val="22"/>
        </w:rPr>
        <w:t xml:space="preserve">a pergunta da dissertação</w:t>
      </w:r>
      <w:r>
        <w:rPr>
          <w:sz w:val="22"/>
          <w:szCs w:val="22"/>
        </w:rPr>
        <w:t xml:space="preserve">, e vale separá-la das outras duas. Acima, os dois times já usavam o FinBERT. Aqui a pergunta é outra: </w:t>
      </w:r>
      <w:r>
        <w:rPr>
          <w:b/>
          <w:bCs/>
          <w:sz w:val="22"/>
          <w:szCs w:val="22"/>
        </w:rPr>
        <w:t xml:space="preserve">o que muda se tirarmos o FinBERT do time?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2800"/>
        <w:gridCol w:w="2538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Modelo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Alvo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FinBERT melhorou em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Efeito médio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SVM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direção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−0,14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XGBoost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direção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+0,07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direção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3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0,00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(HAR)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volatilidade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−0,07 ponto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volatilidade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  <w:tc>
          <w:tcPr>
            <w:tcW w:type="dxa" w:w="2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−0,70 ponto</w:t>
            </w:r>
          </w:p>
        </w:tc>
      </w:tr>
    </w:tbl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"Melhorou em 5 de 10" é exatamente o que uma moeda produziria.</w:t>
      </w:r>
      <w:r>
        <w:rPr>
          <w:sz w:val="22"/>
          <w:szCs w:val="22"/>
        </w:rPr>
        <w:t xml:space="preserve"> Se você jogar uma moeda uma vez para cada ação, perguntando "ajudou?", vai dar cara umas 5 vezes. É esse o padrão que aparece — e o efeito médio fica entre −0,7 e +0,07, ou seja, praticamente zero.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A conclusão honesta: o sentimento dos comunicados da CVM, nesta forma de uso, não acrescenta poder de previsão a nenhum dos dois times.</w:t>
      </w:r>
      <w:r>
        <w:rPr>
          <w:sz w:val="22"/>
          <w:szCs w:val="22"/>
        </w:rPr>
        <w:t xml:space="preserve"> Isso não invalida a pesquisa — é um resultado, e dos mais importantes que temos, porque foi testado de duas maneiras independentes e deu a mesma coisa.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Resultado 4 — quanto isso dá em dinheiro</w:t>
      </w:r>
    </w:p>
    <w:p>
      <w:pPr>
        <w:spacing w:after="140" w:before="0" w:line="288"/>
      </w:pPr>
      <w:r>
        <w:rPr>
          <w:sz w:val="22"/>
          <w:szCs w:val="22"/>
        </w:rPr>
        <w:t xml:space="preserve">Para cada ação, tomamos o </w:t>
      </w:r>
      <w:r>
        <w:rPr>
          <w:b/>
          <w:bCs/>
          <w:sz w:val="22"/>
          <w:szCs w:val="22"/>
        </w:rPr>
        <w:t xml:space="preserve">valor médio que cada investidor tem investido nela</w:t>
      </w:r>
      <w:r>
        <w:rPr>
          <w:sz w:val="22"/>
          <w:szCs w:val="22"/>
        </w:rPr>
        <w:t xml:space="preserve"> — calculado do número de acionistas e das ações em circulação, que a própria empresa declara à CVM — e aplicamos as decisões de cada time ao longo dos 579 pregões.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2350"/>
        <w:gridCol w:w="2250"/>
        <w:gridCol w:w="2238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Ação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Investido (médio)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Comprar e segurar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Time B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VALE3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R$ 408.786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29,1%  (+R$ 118.992)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18,8%  (+R$ 76.632)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17,9%  (+R$ 73.085)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ITUB4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R$ 370.219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68,3%  (+R$ 252.989)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45,3%  (+R$ 167.609)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24,9%  (+R$ 92.101)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PETR4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R$ 336.098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71,0%  (+R$ 238.594)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67,9%  (+R$ 228.098)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11,9%  (+R$ 39.956)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SBSP3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R$ 1.566.111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81,1%  (+R$ 1.270.237)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71,7%  (+R$ 1.122.325)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38,6%  (+R$ 604.477)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BBDC4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R$ 135.402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58,9%  (+R$ 79.690)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-2,1%  (−R$ 2.816)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-3,2%  (−R$ 4.275)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B3SA3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R$ 294.452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51,1%  (+R$ 150.506)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63,5%  (+R$ 186.984)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23,9%  (+R$ 70.266)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ITSA4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R$ 108.099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76,7%  (+R$ 82.878)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23,5%  (+R$ 25.377)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44,6%  (+R$ 48.245)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BPAC11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R$ 1.728.873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75,4%  (+R$ 1.303.776)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35,7%  (+R$ 616.776)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2,8%  (+R$ 48.808)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BBAS3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R$ 40.390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-14,7%  (−R$ 5.932)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-1,7%  (−R$ 681)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19,2%  (+R$ 7.739)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ABEV3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R$ 298.478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40,7%  (+R$ 121.565)</w:t>
            </w:r>
          </w:p>
        </w:tc>
        <w:tc>
          <w:tcPr>
            <w:tcW w:type="dxa" w:w="2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24,0%  (+R$ 71.737)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10,4%  (+R$ 30.948)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A regra dos times: comprado quando o modelo prevê alta, fora do mercado quando prevê baixa.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 se usarmos SÓ o histórico de preço, sem o FinBERT?</w:t>
      </w:r>
    </w:p>
    <w:p>
      <w:pPr>
        <w:spacing w:after="140" w:before="0" w:line="288"/>
      </w:pPr>
      <w:r>
        <w:rPr>
          <w:sz w:val="22"/>
          <w:szCs w:val="22"/>
        </w:rPr>
        <w:t xml:space="preserve">Esta é a comparação direta que faltava. Cada família aparece duas vezes: com o FinBERT e sem ele, somando os 10 papéis.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200"/>
        <w:gridCol w:w="2038"/>
      </w:tblGrid>
      <w:tr>
        <w:trPr>
          <w:cantSplit/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Quem DECIDE todo dia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Decidindo com
preço histórico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Decidindo com
preço + FinBERT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b/>
                <w:bCs/>
                <w:color w:val="1F3864"/>
                <w:sz w:val="19"/>
                <w:szCs w:val="19"/>
              </w:rPr>
              <w:t xml:space="preserve">O FinBERT
melhorou em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SVM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+R$ 1.950.684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+R$ 2.097.862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5 de 10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GARCH + XGBoost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+R$ 1.369.127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+R$ 1.231.551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 de 10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Prophet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+R$ 949.662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+R$ 1.011.352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spacing w:after="0" w:line="264"/>
              <w:jc w:val="center"/>
            </w:pPr>
            <w:r>
              <w:rPr>
                <w:sz w:val="19"/>
                <w:szCs w:val="19"/>
              </w:rPr>
              <w:t xml:space="preserve">6 de 10</w:t>
            </w:r>
          </w:p>
        </w:tc>
      </w:tr>
    </w:tbl>
    <w:p>
      <w:pPr>
        <w:spacing w:after="180" w:before="60" w:line="288"/>
      </w:pPr>
      <w:r>
        <w:rPr>
          <w:i/>
          <w:iCs/>
          <w:color w:val="595959"/>
          <w:sz w:val="17"/>
          <w:szCs w:val="17"/>
        </w:rPr>
        <w:t xml:space="preserve">Soma do resultado nos 10 papéis, sobre o valor médio investido por investidor de cada um.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Acrescentar o FinBERT melhorou em 5 e 6 de 10 papéis</w:t>
      </w:r>
      <w:r>
        <w:rPr>
          <w:sz w:val="22"/>
          <w:szCs w:val="22"/>
        </w:rPr>
        <w:t xml:space="preserve"> — pela terceira vez, o mesmo padrão de moeda.</w:t>
      </w:r>
    </w:p>
    <w:p>
      <w:pPr>
        <w:pStyle w:val="Heading2"/>
        <w:keepNext/>
        <w:spacing w:after="100" w:before="24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E quem não decide nada?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Comprar e segurar: +R$ 3.613.295</w:t>
      </w:r>
      <w:r>
        <w:rPr>
          <w:sz w:val="22"/>
          <w:szCs w:val="22"/>
        </w:rPr>
        <w:t xml:space="preserve"> — mais que qualquer um dos seis modelos acima.
ATENÇÃO para não ler errado: comprar e segurar </w:t>
      </w:r>
      <w:r>
        <w:rPr>
          <w:b/>
          <w:bCs/>
          <w:sz w:val="22"/>
          <w:szCs w:val="22"/>
        </w:rPr>
        <w:t xml:space="preserve">não analisa preço histórico, nem nada</w:t>
      </w:r>
      <w:r>
        <w:rPr>
          <w:sz w:val="22"/>
          <w:szCs w:val="22"/>
        </w:rPr>
        <w:t xml:space="preserve">. Ele compra no primeiro dia, não mexe em nenhum dia, e vende no último. Zero contas, zero decisões.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Por que os modelos perdem para quem não faz nada?</w:t>
      </w:r>
      <w:r>
        <w:rPr>
          <w:sz w:val="22"/>
          <w:szCs w:val="22"/>
        </w:rPr>
        <w:t xml:space="preserve"> Porque a única coisa que eles podem fazer é </w:t>
      </w:r>
      <w:r>
        <w:rPr>
          <w:b/>
          <w:bCs/>
          <w:sz w:val="22"/>
          <w:szCs w:val="22"/>
        </w:rPr>
        <w:t xml:space="preserve">tirar você do mercado</w:t>
      </w:r>
      <w:r>
        <w:rPr>
          <w:sz w:val="22"/>
          <w:szCs w:val="22"/>
        </w:rPr>
        <w:t xml:space="preserve"> nos dias em que preveem queda. Como eles acertam quase o mesmo que cara-ou-coroa, acabam tirando você do mercado em dias bons e ruins na mesma proporção — e, num período em que a bolsa subiu, cada dia bom perdido é dinheiro que não volta.</w:t>
      </w:r>
    </w:p>
    <w:p>
      <w:pPr>
        <w:spacing w:after="140" w:before="0" w:line="288"/>
      </w:pPr>
      <w:r>
        <w:rPr>
          <w:sz w:val="22"/>
          <w:szCs w:val="22"/>
        </w:rPr>
        <w:t xml:space="preserve">É como um porteiro que barra metade das pessoas na sorte: ele não melhora a festa, só esvazia.</w:t>
      </w:r>
    </w:p>
    <w:p>
      <w:pPr>
        <w:pBdr>
          <w:top w:val="single" w:color="BF8F00" w:sz="2" w:space="6"/>
          <w:bottom w:val="single" w:color="BF8F00" w:sz="2" w:space="6"/>
          <w:left w:val="single" w:color="BF8F00" w:sz="24" w:space="8"/>
          <w:right w:val="single" w:color="BF8F00" w:sz="2" w:space="6"/>
        </w:pBdr>
        <w:shd w:fill="FFF2CC" w:color="auto" w:val="clear"/>
        <w:spacing w:after="160" w:before="100" w:line="288"/>
      </w:pPr>
      <w:r>
        <w:rPr>
          <w:b/>
          <w:bCs/>
          <w:sz w:val="22"/>
          <w:szCs w:val="22"/>
        </w:rPr>
        <w:t xml:space="preserve">Comprar e segurar — não fazer nada — venceu os dois times em 8 das 10 ações.</w:t>
      </w:r>
      <w:r>
        <w:rPr>
          <w:sz w:val="22"/>
          <w:szCs w:val="22"/>
        </w:rPr>
        <w:t xml:space="preserve"> O motivo é simples: os modelos saem do mercado nos dias em que preveem queda, e com isso perdem as altas. Num período em que a bolsa subiu, ficar de fora custa caro.</w:t>
      </w:r>
    </w:p>
    <w:p>
      <w:pPr>
        <w:spacing w:after="140" w:before="0" w:line="288"/>
      </w:pPr>
      <w:r>
        <w:rPr>
          <w:b/>
          <w:bCs/>
          <w:sz w:val="22"/>
          <w:szCs w:val="22"/>
        </w:rPr>
        <w:t xml:space="preserve">E a ressalva, que precisa ser dita junto:</w:t>
      </w:r>
      <w:r>
        <w:rPr>
          <w:sz w:val="22"/>
          <w:szCs w:val="22"/>
        </w:rPr>
        <w:t xml:space="preserve"> esta conta não inclui corretagem, imposto de renda nem a diferença entre preço de compra e venda. E, como o acerto dos modelos está perto de cara-ou-coroa, o resultado em reais é em boa parte </w:t>
      </w:r>
      <w:r>
        <w:rPr>
          <w:b/>
          <w:bCs/>
          <w:sz w:val="22"/>
          <w:szCs w:val="22"/>
        </w:rPr>
        <w:t xml:space="preserve">sorte</w:t>
      </w:r>
      <w:r>
        <w:rPr>
          <w:sz w:val="22"/>
          <w:szCs w:val="22"/>
        </w:rPr>
        <w:t xml:space="preserve">, não habilidade. O número serve para dar ordem de grandeza — não é recomendação de investimento.</w:t>
      </w:r>
    </w:p>
    <w:p>
      <w:pPr>
        <w:pStyle w:val="Heading1"/>
        <w:keepNext/>
        <w:pBdr>
          <w:bottom w:val="single" w:color="1F3864" w:sz="6" w:space="2"/>
        </w:pBdr>
        <w:spacing w:after="15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Resumindo, para levar à reunião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Para o tamanho do sacolejo, o GARCH é muito melhor que o Prophet</w:t>
      </w:r>
      <w:r>
        <w:rPr>
          <w:sz w:val="22"/>
          <w:szCs w:val="22"/>
        </w:rPr>
        <w:t xml:space="preserve"> — e por margem enorme, em 10 das 10 ações.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Para o lado (sobe ou desce), nenhum dos dois funciona</w:t>
      </w:r>
      <w:r>
        <w:rPr>
          <w:sz w:val="22"/>
          <w:szCs w:val="22"/>
        </w:rPr>
        <w:t xml:space="preserve"> — nenhum bate o palpite fixo com segurança, em nenhuma ação.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O sentimento do FinBERT não mudou o resultado de nenhum dos dois</w:t>
      </w:r>
      <w:r>
        <w:rPr>
          <w:sz w:val="22"/>
          <w:szCs w:val="22"/>
        </w:rPr>
        <w:t xml:space="preserve"> — melhorou em cerca de metade das ações, que é o mesmo que jogar uma moeda.</w:t>
      </w:r>
    </w:p>
    <w:p>
      <w:pPr>
        <w:pStyle w:val="ListParagraph"/>
        <w:numPr>
          <w:ilvl w:val="0"/>
          <w:numId w:val="2"/>
        </w:numPr>
        <w:spacing w:after="100" w:line="288"/>
      </w:pPr>
      <w:r>
        <w:rPr>
          <w:b/>
          <w:bCs/>
          <w:sz w:val="22"/>
          <w:szCs w:val="22"/>
        </w:rPr>
        <w:t xml:space="preserve">Em dinheiro, os dois times perdem para não fazer nada.</w:t>
      </w:r>
    </w:p>
    <w:p>
      <w:pPr>
        <w:spacing w:after="140" w:before="120" w:line="288"/>
      </w:pPr>
      <w:r>
        <w:rPr>
          <w:sz w:val="22"/>
          <w:szCs w:val="22"/>
        </w:rPr>
        <w:t xml:space="preserve">Isso </w:t>
      </w:r>
      <w:r>
        <w:rPr>
          <w:b/>
          <w:bCs/>
          <w:sz w:val="22"/>
          <w:szCs w:val="22"/>
        </w:rPr>
        <w:t xml:space="preserve">não enfraquece</w:t>
      </w:r>
      <w:r>
        <w:rPr>
          <w:sz w:val="22"/>
          <w:szCs w:val="22"/>
        </w:rPr>
        <w:t xml:space="preserve"> a dissertação — pelo contrário. A conclusão central dela sempre foi que </w:t>
      </w:r>
      <w:r>
        <w:rPr>
          <w:b/>
          <w:bCs/>
          <w:sz w:val="22"/>
          <w:szCs w:val="22"/>
        </w:rPr>
        <w:t xml:space="preserve">o sentimento informa o risco, não a direção</w:t>
      </w:r>
      <w:r>
        <w:rPr>
          <w:sz w:val="22"/>
          <w:szCs w:val="22"/>
        </w:rPr>
        <w:t xml:space="preserve">. Agora essa conclusão foi testada por um caminho completamente diferente, com outro tipo de modelo, e deu a mesma coisa. Resultado que se repete sob método diferente é resultado mais forte, não mais fraco.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6"/>
        <w:szCs w:val="16"/>
      </w:rPr>
      <w:t xml:space="preserve">Os dois times — 24/10/2026</w:t>
    </w:r>
    <w:r>
      <w:rPr>
        <w:color w:val="595959"/>
        <w:sz w:val="16"/>
        <w:szCs w:val="16"/>
      </w:rPr>
      <w:tab/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dois times, explicado do zero</dc:title>
  <dc:creator>Vanderlei Barbosa da Silva</dc:creator>
  <cp:lastModifiedBy>Un-named</cp:lastModifiedBy>
  <cp:revision>1</cp:revision>
  <dcterms:created xsi:type="dcterms:W3CDTF">2026-10-24T19:16:18.368Z</dcterms:created>
  <dcterms:modified xsi:type="dcterms:W3CDTF">2026-10-24T19:16:18.369Z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