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ROTULAR PELAS MÃOS DE QUEM JÁ ROTULA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Protocolo para usar as análises públicas de especialistas como rótulo e como régua — resposta ao pedido dos Profs. Emerson Paraiso e Julio Nievola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Avaliação de viabilidade e protocolo experimental para a proposta de obter rótulos a partir de análises publicadas por especialistas de mercado, e de confrontar as previsões desses especialistas com o preço efetivamente observado. Inclui o precedente na literatura, o teste de acesso às fontes, três experimentos com protocolo definido e os riscos identificados. Elaborado em 26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RESPOSTA CURTA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Sim, é possível, e recomendo que se faça.</w:t>
      </w:r>
      <w:r>
        <w:rPr>
          <w:rFonts w:ascii="Times New Roman" w:hAnsi="Times New Roman"/>
          <w:sz w:val="24"/>
        </w:rPr>
        <w:t xml:space="preserve"> Por três razões concretas: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Há precedente de primeira linha.</w:t>
      </w:r>
      <w:r>
        <w:rPr>
          <w:rFonts w:ascii="Times New Roman" w:hAnsi="Times New Roman"/>
          <w:sz w:val="24"/>
        </w:rPr>
        <w:t xml:space="preserve"> Chen, De, Hu e Hwang (2014) publicaram na *Review of Financial Studies* — uma das três revistas mais respeitadas de finanças — um trabalho que faz exatamente isto: extrair a opinião de especialistas publicada na internet e verificar se ela antecipa o retorno das ações. </w:t>
      </w:r>
      <w:r>
        <w:rPr>
          <w:rFonts w:ascii="Times New Roman" w:hAnsi="Times New Roman"/>
          <w:b/>
          <w:sz w:val="24"/>
        </w:rPr>
        <w:t>A resposta deles foi sim.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fontes existem e estão acessíveis.</w:t>
      </w:r>
      <w:r>
        <w:rPr>
          <w:rFonts w:ascii="Times New Roman" w:hAnsi="Times New Roman"/>
          <w:sz w:val="24"/>
        </w:rPr>
        <w:t xml:space="preserve"> Testei três nesta data e todas responderam, com arquivo histórico recuperável até 2021 no mínimo.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infraestrutura já é nossa.</w:t>
      </w:r>
      <w:r>
        <w:rPr>
          <w:rFonts w:ascii="Times New Roman" w:hAnsi="Times New Roman"/>
          <w:sz w:val="24"/>
        </w:rPr>
        <w:t xml:space="preserve"> O InfoMoney e o Money Times — as duas fontes mais promissoras — já são raspados pelos nossos coletores.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há uma distinção no pedido que precisa ser desfeita antes de escrever a primeira linha de código</w:t>
      </w:r>
      <w:r>
        <w:rPr>
          <w:rFonts w:ascii="Times New Roman" w:hAnsi="Times New Roman"/>
          <w:sz w:val="24"/>
        </w:rPr>
        <w:t>, sob pena de o experimento nascer torto. É o assunto da Seção 3.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Registro ainda que </w:t>
      </w:r>
      <w:r>
        <w:rPr>
          <w:rFonts w:ascii="Times New Roman" w:hAnsi="Times New Roman"/>
          <w:b/>
          <w:sz w:val="24"/>
        </w:rPr>
        <w:t>isto não reabre a rotulagem manual suspensa</w:t>
      </w:r>
      <w:r>
        <w:rPr>
          <w:rFonts w:ascii="Times New Roman" w:hAnsi="Times New Roman"/>
          <w:sz w:val="24"/>
        </w:rPr>
        <w:t xml:space="preserve">. São coisas diferentes: lá eu </w:t>
      </w:r>
      <w:r>
        <w:rPr>
          <w:rFonts w:ascii="Times New Roman" w:hAnsi="Times New Roman"/>
          <w:b/>
          <w:sz w:val="24"/>
        </w:rPr>
        <w:t>produziria</w:t>
      </w:r>
      <w:r>
        <w:rPr>
          <w:rFonts w:ascii="Times New Roman" w:hAnsi="Times New Roman"/>
          <w:sz w:val="24"/>
        </w:rPr>
        <w:t xml:space="preserve"> rótulos; aqui eu </w:t>
      </w:r>
      <w:r>
        <w:rPr>
          <w:rFonts w:ascii="Times New Roman" w:hAnsi="Times New Roman"/>
          <w:b/>
          <w:sz w:val="24"/>
        </w:rPr>
        <w:t>colho</w:t>
      </w:r>
      <w:r>
        <w:rPr>
          <w:rFonts w:ascii="Times New Roman" w:hAnsi="Times New Roman"/>
          <w:sz w:val="24"/>
        </w:rPr>
        <w:t xml:space="preserve"> rótulos que já existem, publicados, assinados e datados. O custo em horas minhas é de coleta, não de julgamento.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PRECEDENTE: CHEN, DE, HU E HWANG (2014)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*Review of Financial Studies*, 27(5):1367–1403. Texto integral aberto em bhwang.com.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fizeram:</w:t>
      </w:r>
      <w:r>
        <w:rPr>
          <w:rFonts w:ascii="Times New Roman" w:hAnsi="Times New Roman"/>
          <w:sz w:val="24"/>
        </w:rPr>
        <w:t xml:space="preserve"> coletaram artigos publicados no Seeking Alpha — sítio onde analistas independentes escrevem sobre ações, cada artigo trazendo uma opinião explícita — e também os </w:t>
      </w:r>
      <w:r>
        <w:rPr>
          <w:rFonts w:ascii="Times New Roman" w:hAnsi="Times New Roman"/>
          <w:b/>
          <w:sz w:val="24"/>
        </w:rPr>
        <w:t>comentários dos leitores</w:t>
      </w:r>
      <w:r>
        <w:rPr>
          <w:rFonts w:ascii="Times New Roman" w:hAnsi="Times New Roman"/>
          <w:sz w:val="24"/>
        </w:rPr>
        <w:t xml:space="preserve"> a esses artigos. Mediram o teor de cada um e verificaram se antecipavam o retorno da ação e a surpresa no resultado trimestral.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encontraram:</w:t>
      </w:r>
      <w:r>
        <w:rPr>
          <w:rFonts w:ascii="Times New Roman" w:hAnsi="Times New Roman"/>
          <w:sz w:val="24"/>
        </w:rPr>
        <w:t xml:space="preserve"> tanto os artigos quanto os comentários </w:t>
      </w:r>
      <w:r>
        <w:rPr>
          <w:rFonts w:ascii="Times New Roman" w:hAnsi="Times New Roman"/>
          <w:b/>
          <w:sz w:val="24"/>
        </w:rPr>
        <w:t>antecipam</w:t>
      </w:r>
      <w:r>
        <w:rPr>
          <w:rFonts w:ascii="Times New Roman" w:hAnsi="Times New Roman"/>
          <w:sz w:val="24"/>
        </w:rPr>
        <w:t xml:space="preserve"> retornos futuros e surpresas de resultado.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nos serve:</w:t>
      </w:r>
      <w:r>
        <w:rPr>
          <w:rFonts w:ascii="Times New Roman" w:hAnsi="Times New Roman"/>
          <w:sz w:val="24"/>
        </w:rPr>
        <w:t xml:space="preserve"> legitima o desenho inteiro. Quando a banca perguntar de onde veio a ideia de usar análise pública como rótulo, a resposta não é “foi uma sugestão da reunião” — é </w:t>
      </w:r>
      <w:r>
        <w:rPr>
          <w:rFonts w:ascii="Times New Roman" w:hAnsi="Times New Roman"/>
          <w:b/>
          <w:sz w:val="24"/>
        </w:rPr>
        <w:t>um artigo em periódico de primeira linha, com mais de mil citações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Onde eles diferem de nós, e isso importa:</w:t>
      </w:r>
      <w:r>
        <w:rPr>
          <w:rFonts w:ascii="Times New Roman" w:hAnsi="Times New Roman"/>
          <w:sz w:val="24"/>
        </w:rPr>
        <w:t xml:space="preserve"> o Seeking Alpha traz rótulo </w:t>
      </w:r>
      <w:r>
        <w:rPr>
          <w:rFonts w:ascii="Times New Roman" w:hAnsi="Times New Roman"/>
          <w:b/>
          <w:sz w:val="24"/>
        </w:rPr>
        <w:t>explícito e estruturado</w:t>
      </w:r>
      <w:r>
        <w:rPr>
          <w:rFonts w:ascii="Times New Roman" w:hAnsi="Times New Roman"/>
          <w:sz w:val="24"/>
        </w:rPr>
        <w:t xml:space="preserve"> em cada artigo. Em português não existe equivalente com essa organização. </w:t>
      </w:r>
      <w:r>
        <w:rPr>
          <w:rFonts w:ascii="Times New Roman" w:hAnsi="Times New Roman"/>
          <w:b/>
          <w:sz w:val="24"/>
        </w:rPr>
        <w:t>A nossa dificuldade não é conceitual, é de engenharia de coleta.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DISTINÇÃO QUE PRECISA SER DESFEITA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pedido, como formulado, encadeia três coisas — e elas </w:t>
      </w:r>
      <w:r>
        <w:rPr>
          <w:rFonts w:ascii="Times New Roman" w:hAnsi="Times New Roman"/>
          <w:b/>
          <w:sz w:val="24"/>
        </w:rPr>
        <w:t>não são a mesma coisa</w:t>
      </w:r>
      <w:r>
        <w:rPr>
          <w:rFonts w:ascii="Times New Roman" w:hAnsi="Times New Roman"/>
          <w:sz w:val="24"/>
        </w:rPr>
        <w:t>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Três perguntas diferentes dentro de um mesmo pedido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Para que serve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especialista classifica uma NOTÍCIA como boa ou ruim para a empresa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seria um RÓTULO — o gabarito que falta ao nosso classificador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especialista PREVÊ que a ação vai subir ou cair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uma PREVISÃO — comparável ao que o nosso modelo faz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(c)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conferir no preço se aconteceu o previsto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valida (b). NÃO valida (a).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Por que conferir o rótulo pelo preço é uma armadilha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Suponha que um analista escreva: *“o corte de preço da gasolina anunciado hoje é péssimo para a Petrobras”*. E suponha que, no dia seguinte, a PETR4 </w:t>
      </w:r>
      <w:r>
        <w:rPr>
          <w:rFonts w:ascii="Times New Roman" w:hAnsi="Times New Roman"/>
          <w:b/>
          <w:sz w:val="24"/>
        </w:rPr>
        <w:t>suba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significa que o rótulo “negativo” estava errado?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Não.</w:t>
      </w:r>
      <w:r>
        <w:rPr>
          <w:rFonts w:ascii="Times New Roman" w:hAnsi="Times New Roman"/>
          <w:sz w:val="24"/>
        </w:rPr>
        <w:t xml:space="preserve"> Significa apenas que, naquele pregão, outra coisa pesou mais. E nós </w:t>
      </w:r>
      <w:r>
        <w:rPr>
          <w:rFonts w:ascii="Times New Roman" w:hAnsi="Times New Roman"/>
          <w:b/>
          <w:sz w:val="24"/>
        </w:rPr>
        <w:t>já demonstramos</w:t>
      </w:r>
      <w:r>
        <w:rPr>
          <w:rFonts w:ascii="Times New Roman" w:hAnsi="Times New Roman"/>
          <w:sz w:val="24"/>
        </w:rPr>
        <w:t xml:space="preserve"> que é isso o que acontece na esmagadora maioria dos dias — é o efeito de cauda: a notícia não move o pregão comum, ela importa nos extremos.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Duas evidências nossas dizem que esse critério não se sustenta: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no nosso conjunto-ouro, a </w:t>
      </w:r>
      <w:r>
        <w:rPr>
          <w:rFonts w:ascii="Times New Roman" w:hAnsi="Times New Roman"/>
          <w:b/>
          <w:sz w:val="24"/>
        </w:rPr>
        <w:t>rotulagem humana de direção acertou 46,7%</w:t>
      </w:r>
      <w:r>
        <w:rPr>
          <w:rFonts w:ascii="Times New Roman" w:hAnsi="Times New Roman"/>
          <w:sz w:val="24"/>
        </w:rPr>
        <w:t xml:space="preserve"> — </w:t>
      </w:r>
      <w:r>
        <w:rPr>
          <w:rFonts w:ascii="Times New Roman" w:hAnsi="Times New Roman"/>
          <w:b/>
          <w:sz w:val="24"/>
        </w:rPr>
        <w:t>abaixo do acaso</w:t>
      </w:r>
      <w:r>
        <w:rPr>
          <w:rFonts w:ascii="Times New Roman" w:hAnsi="Times New Roman"/>
          <w:sz w:val="24"/>
        </w:rPr>
        <w:t>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no teste de horizontes, o sinal do pregão de reação (55,0% / 53,2% / 51,6%, ordenado) </w:t>
      </w:r>
      <w:r>
        <w:rPr>
          <w:rFonts w:ascii="Times New Roman" w:hAnsi="Times New Roman"/>
          <w:b/>
          <w:sz w:val="24"/>
        </w:rPr>
        <w:t>colapsa</w:t>
      </w:r>
      <w:r>
        <w:rPr>
          <w:rFonts w:ascii="Times New Roman" w:hAnsi="Times New Roman"/>
          <w:sz w:val="24"/>
        </w:rPr>
        <w:t xml:space="preserve"> no dia seguinte (52,5% / 52,4% / 51,5%).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Ou seja: se adotarmos “o preço confirmou” como critério de qualidade do rótulo, estaremos julgando bons rótulos com uma régua que nós mesmos já provamos ser de cara ou coroa.</w:t>
      </w:r>
      <w:r>
        <w:rPr>
          <w:rFonts w:ascii="Times New Roman" w:hAnsi="Times New Roman"/>
          <w:sz w:val="24"/>
        </w:rPr>
        <w:t xml:space="preserve"> Rejeitaríamos rótulos corretos e aceitaríamos rótulos errados, ao sabor do ruído do pregão.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saída é simples:</w:t>
      </w:r>
      <w:r>
        <w:rPr>
          <w:rFonts w:ascii="Times New Roman" w:hAnsi="Times New Roman"/>
          <w:sz w:val="24"/>
        </w:rPr>
        <w:t xml:space="preserve"> manter (a) e (b) </w:t>
      </w:r>
      <w:r>
        <w:rPr>
          <w:rFonts w:ascii="Times New Roman" w:hAnsi="Times New Roman"/>
          <w:b/>
          <w:sz w:val="24"/>
        </w:rPr>
        <w:t>separados</w:t>
      </w:r>
      <w:r>
        <w:rPr>
          <w:rFonts w:ascii="Times New Roman" w:hAnsi="Times New Roman"/>
          <w:sz w:val="24"/>
        </w:rPr>
        <w:t xml:space="preserve">. O rótulo do especialista vale por si — ele é um leitor profissional, e é isso que queremos capturar. A conferência pelo preço vira </w:t>
      </w:r>
      <w:r>
        <w:rPr>
          <w:rFonts w:ascii="Times New Roman" w:hAnsi="Times New Roman"/>
          <w:b/>
          <w:sz w:val="24"/>
        </w:rPr>
        <w:t>um experimento próprio</w:t>
      </w:r>
      <w:r>
        <w:rPr>
          <w:rFonts w:ascii="Times New Roman" w:hAnsi="Times New Roman"/>
          <w:sz w:val="24"/>
        </w:rPr>
        <w:t>, sobre a previsão, não sobre o rótulo.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REENQUADRAMENTO QUE TORNA ISTO VALIOSO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Desfeita a confusão, aparece uma oportunidade que considero </w:t>
      </w:r>
      <w:r>
        <w:rPr>
          <w:rFonts w:ascii="Times New Roman" w:hAnsi="Times New Roman"/>
          <w:b/>
          <w:sz w:val="24"/>
        </w:rPr>
        <w:t>a mais valiosa à nossa disposição neste momento</w:t>
      </w:r>
      <w:r>
        <w:rPr>
          <w:rFonts w:ascii="Times New Roman" w:hAnsi="Times New Roman"/>
          <w:sz w:val="24"/>
        </w:rPr>
        <w:t xml:space="preserve"> — e que não estava no pedido original.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usar o especialista apenas como fonte de rótulo. Usá-lo como RÉGUA.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crítica mais provável na defesa é: *“54,5% de acerto é muito pouco”*. Hoje eu respondo com o argumento do ganho — 4,4 pontos percentuais sobre um modelo só de preços, dentro da faixa de 2 a 10 relatada na literatura. É uma resposta correta, mas indireta.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direta seria esta:</w:t>
      </w:r>
      <w:r>
        <w:rPr>
          <w:rFonts w:ascii="Times New Roman" w:hAnsi="Times New Roman"/>
          <w:sz w:val="24"/>
        </w:rPr>
        <w:t xml:space="preserve"> se analistas profissionais, publicando com nome e reputação em jogo, acertam a direção da PETR4 em X% dos casos no mesmo período — e o nosso modelo acerta 54,5% —, </w:t>
      </w:r>
      <w:r>
        <w:rPr>
          <w:rFonts w:ascii="Times New Roman" w:hAnsi="Times New Roman"/>
          <w:b/>
          <w:sz w:val="24"/>
        </w:rPr>
        <w:t>temos uma comparação que qualquer banca entende em cinco segundos.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note o que já sabemos: </w:t>
      </w:r>
      <w:r>
        <w:rPr>
          <w:rFonts w:ascii="Times New Roman" w:hAnsi="Times New Roman"/>
          <w:b/>
          <w:sz w:val="24"/>
        </w:rPr>
        <w:t>a rotulagem humana de direção, no nosso conjunto-ouro, acertou 46,7%.</w:t>
      </w:r>
      <w:r>
        <w:rPr>
          <w:rFonts w:ascii="Times New Roman" w:hAnsi="Times New Roman"/>
          <w:sz w:val="24"/>
        </w:rPr>
        <w:t xml:space="preserve"> Se esse número se confirmar em analistas profissionais, ao longo de anos, deixa de ser curiosidade de um conjunto pequeno e </w:t>
      </w:r>
      <w:r>
        <w:rPr>
          <w:rFonts w:ascii="Times New Roman" w:hAnsi="Times New Roman"/>
          <w:b/>
          <w:sz w:val="24"/>
        </w:rPr>
        <w:t>vira achado publicável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conheço trabalho brasileiro que confronte um modelo de sentimento com as previsões públicas de especialistas sobre o mesmo ativo e o mesmo período.</w:t>
      </w:r>
      <w:r>
        <w:rPr>
          <w:rFonts w:ascii="Times New Roman" w:hAnsi="Times New Roman"/>
          <w:sz w:val="24"/>
        </w:rPr>
        <w:t xml:space="preserve"> É contribuição original, e barata.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AS FONTES REAIS, COM TESTE DE ACESSO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Testei o acesso em 26 de agosto de 2026. O que segue não é levantamento bibliográfico, é verificação de que os dados podem de fato ser obtidos.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Fontes avaliadas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Fonte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fornece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Histórico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Acesso testado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InfoMoney — carteiras recomendadas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quantas corretoras recomendam PETR4 no mês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mensal, recuperável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OK (200); artigo de 05/01/2021 recuperado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Money Times — carteiras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mesma informação, outra apuração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mensal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OK (200)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TradingView — Ideias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rótulo explícito “viés de alta” / “viés de baixa” com data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desde cerca de 2020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OK; rótulos e datas visíveis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Seeking Alpha (PBR)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nota explícita por artigo, de compra forte a venda forte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longo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BLOQUEADO (403) — e é a PBR em Nova York, não a PETR4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Casas de análise (XP, BTG, Genial, Suno)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tese e preço-alvo com data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parcial — parte atrás de assinatura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Economatica / Refinitiv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consenso histórico estruturado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completo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VERIFICAR com a PUCPR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Duas observações práticas.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Primeira, e é a mais importante:</w:t>
      </w:r>
      <w:r>
        <w:rPr>
          <w:rFonts w:ascii="Times New Roman" w:hAnsi="Times New Roman"/>
          <w:sz w:val="24"/>
        </w:rPr>
        <w:t xml:space="preserve"> vale perguntar à biblioteca da PUCPR se a instituição assina </w:t>
      </w:r>
      <w:r>
        <w:rPr>
          <w:rFonts w:ascii="Times New Roman" w:hAnsi="Times New Roman"/>
          <w:b/>
          <w:sz w:val="24"/>
        </w:rPr>
        <w:t>Economatica</w:t>
      </w:r>
      <w:r>
        <w:rPr>
          <w:rFonts w:ascii="Times New Roman" w:hAnsi="Times New Roman"/>
          <w:sz w:val="24"/>
        </w:rPr>
        <w:t xml:space="preserve"> ou </w:t>
      </w:r>
      <w:r>
        <w:rPr>
          <w:rFonts w:ascii="Times New Roman" w:hAnsi="Times New Roman"/>
          <w:b/>
          <w:sz w:val="24"/>
        </w:rPr>
        <w:t>Refinitiv Eikon</w:t>
      </w:r>
      <w:r>
        <w:rPr>
          <w:rFonts w:ascii="Times New Roman" w:hAnsi="Times New Roman"/>
          <w:sz w:val="24"/>
        </w:rPr>
        <w:t xml:space="preserve">. Se assinar, o problema muda de natureza — passa a existir a série histórica de consenso de analistas, estruturada, sem raspagem e sem discussão de termos de uso. </w:t>
      </w:r>
      <w:r>
        <w:rPr>
          <w:rFonts w:ascii="Times New Roman" w:hAnsi="Times New Roman"/>
          <w:b/>
          <w:sz w:val="24"/>
        </w:rPr>
        <w:t>Registre-se que a base Eikon é justamente a que Hashami e Maldonado (2025) usaram.</w:t>
      </w:r>
      <w:r>
        <w:rPr>
          <w:rFonts w:ascii="Times New Roman" w:hAnsi="Times New Roman"/>
          <w:sz w:val="24"/>
        </w:rPr>
        <w:t xml:space="preserve"> É a pergunta de maior retorno por minuto gasto em todo este protocolo.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</w:t>
      </w:r>
      <w:r>
        <w:rPr>
          <w:rFonts w:ascii="Times New Roman" w:hAnsi="Times New Roman"/>
          <w:sz w:val="24"/>
        </w:rPr>
        <w:t xml:space="preserve"> o Seeking Alpha bloqueou o acesso automatizado, e isso é um recado. Convém respeitar os termos de uso e o `robots.txt` de cada sítio. Para as fontes que restringem, o caminho legítimo é amostra coletada à mão ou acesso institucional — </w:t>
      </w:r>
      <w:r>
        <w:rPr>
          <w:rFonts w:ascii="Times New Roman" w:hAnsi="Times New Roman"/>
          <w:b/>
          <w:sz w:val="24"/>
        </w:rPr>
        <w:t>não contornar bloqueio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OS TRÊS EXPERIMENTOS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6.1 E1 — O especialista como régua (prioridade)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Pergunta:</w:t>
      </w:r>
      <w:r>
        <w:rPr>
          <w:rFonts w:ascii="Times New Roman" w:hAnsi="Times New Roman"/>
          <w:sz w:val="24"/>
        </w:rPr>
        <w:t xml:space="preserve"> analistas profissionais acertam a direção da PETR4 melhor que o nosso modelo? Melhor que o acaso?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Protocolo: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coletar as chamadas direcionais datadas — carteiras mensais do InfoMoney e do Money Times, e ideias do TradingView;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para cada chamada, apurar o retorno da PETR4 no horizonte declarado (o mês seguinte, no caso das carteiras);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calcular a taxa de acerto, com teste binomial contra 50% e contra a classe majoritária;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comparar com o nosso modelo pelo teste de McNemar, </w:t>
      </w:r>
      <w:r>
        <w:rPr>
          <w:rFonts w:ascii="Times New Roman" w:hAnsi="Times New Roman"/>
          <w:b/>
          <w:sz w:val="24"/>
        </w:rPr>
        <w:t>nas mesmas datas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é a prioridade:</w:t>
      </w:r>
      <w:r>
        <w:rPr>
          <w:rFonts w:ascii="Times New Roman" w:hAnsi="Times New Roman"/>
          <w:sz w:val="24"/>
        </w:rPr>
        <w:t xml:space="preserve"> é o de menor risco — se os especialistas forem bem, temos uma referência honesta; se forem mal, temos um achado forte. </w:t>
      </w:r>
      <w:r>
        <w:rPr>
          <w:rFonts w:ascii="Times New Roman" w:hAnsi="Times New Roman"/>
          <w:b/>
          <w:sz w:val="24"/>
        </w:rPr>
        <w:t>Nos dois casos o experimento rende.</w:t>
      </w:r>
      <w:r>
        <w:rPr>
          <w:rFonts w:ascii="Times New Roman" w:hAnsi="Times New Roman"/>
          <w:sz w:val="24"/>
        </w:rPr>
        <w:t xml:space="preserve"> E o horizonte mensal das carteiras coincide com o nosso melhor resultado, que é o de 22 pregões.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6.2 E2 — O rótulo do especialista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Pergunta:</w:t>
      </w:r>
      <w:r>
        <w:rPr>
          <w:rFonts w:ascii="Times New Roman" w:hAnsi="Times New Roman"/>
          <w:sz w:val="24"/>
        </w:rPr>
        <w:t xml:space="preserve"> quando um especialista lê uma notícia sobre a Petrobras e diz se ela é boa ou ruim, o nosso FinBERT-PT-BR concorda com ele?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Protocolo: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localizar análises que comentem uma notícia </w:t>
      </w:r>
      <w:r>
        <w:rPr>
          <w:rFonts w:ascii="Times New Roman" w:hAnsi="Times New Roman"/>
          <w:b/>
          <w:sz w:val="24"/>
        </w:rPr>
        <w:t>identificável</w:t>
      </w:r>
      <w:r>
        <w:rPr>
          <w:rFonts w:ascii="Times New Roman" w:hAnsi="Times New Roman"/>
          <w:sz w:val="24"/>
        </w:rPr>
        <w:t xml:space="preserve"> — “a Petrobras anunciou X, e isso é bom/ruim porque...”;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extrair o par (notícia, classificação do especialista);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casar cada notícia com a manchete correspondente no nosso corpus de 205.697;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medir a concordância entre o especialista e o nosso modelo — F1 por classe e kappa;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sem usar o preço como critério.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isto entrega:</w:t>
      </w:r>
      <w:r>
        <w:rPr>
          <w:rFonts w:ascii="Times New Roman" w:hAnsi="Times New Roman"/>
          <w:sz w:val="24"/>
        </w:rPr>
        <w:t xml:space="preserve"> um conjunto-ouro construído por leitores profissionais, que é o que faltava ao nosso. E responde à objeção do especialista que já nos foi feita, porque desta vez o julgamento não é meu.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risco:</w:t>
      </w:r>
      <w:r>
        <w:rPr>
          <w:rFonts w:ascii="Times New Roman" w:hAnsi="Times New Roman"/>
          <w:sz w:val="24"/>
        </w:rPr>
        <w:t xml:space="preserve"> o casamento entre a análise e a manchete é trabalhoso e o rendimento tende a ser baixo. </w:t>
      </w:r>
      <w:r>
        <w:rPr>
          <w:rFonts w:ascii="Times New Roman" w:hAnsi="Times New Roman"/>
          <w:b/>
          <w:sz w:val="24"/>
        </w:rPr>
        <w:t>Convém estimar em uma amostra de trinta casos antes de escalar.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6.3 E3 — A notícia move o preço?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Pergunta:</w:t>
      </w:r>
      <w:r>
        <w:rPr>
          <w:rFonts w:ascii="Times New Roman" w:hAnsi="Times New Roman"/>
          <w:sz w:val="24"/>
        </w:rPr>
        <w:t xml:space="preserve"> as notícias que os especialistas destacam como relevantes movem o preço mais que uma notícia qualquer?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Protocolo:</w:t>
      </w:r>
      <w:r>
        <w:rPr>
          <w:rFonts w:ascii="Times New Roman" w:hAnsi="Times New Roman"/>
          <w:sz w:val="24"/>
        </w:rPr>
        <w:t xml:space="preserve"> estudo de evento clássico — janela em torno da data, retorno anormal e volatilidade anormal, contra uma amostra de controle de notícias não destacadas.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previsão que faço, e que convém registrar antes de rodar:</w:t>
      </w:r>
      <w:r>
        <w:rPr>
          <w:rFonts w:ascii="Times New Roman" w:hAnsi="Times New Roman"/>
          <w:sz w:val="24"/>
        </w:rPr>
        <w:t xml:space="preserve"> o efeito aparecerá </w:t>
      </w:r>
      <w:r>
        <w:rPr>
          <w:rFonts w:ascii="Times New Roman" w:hAnsi="Times New Roman"/>
          <w:b/>
          <w:sz w:val="24"/>
        </w:rPr>
        <w:t>concentrado em poucos eventos</w:t>
      </w:r>
      <w:r>
        <w:rPr>
          <w:rFonts w:ascii="Times New Roman" w:hAnsi="Times New Roman"/>
          <w:sz w:val="24"/>
        </w:rPr>
        <w:t xml:space="preserve">, não distribuído. Se isso se confirmar, é a </w:t>
      </w:r>
      <w:r>
        <w:rPr>
          <w:rFonts w:ascii="Times New Roman" w:hAnsi="Times New Roman"/>
          <w:b/>
          <w:sz w:val="24"/>
        </w:rPr>
        <w:t>quarta</w:t>
      </w:r>
      <w:r>
        <w:rPr>
          <w:rFonts w:ascii="Times New Roman" w:hAnsi="Times New Roman"/>
          <w:sz w:val="24"/>
        </w:rPr>
        <w:t xml:space="preserve"> confirmação independente do efeito de cauda — e desta vez com eventos escolhidos por profissionais, não por um critério estatístico meu.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RISCOS, DITOS ANTES E NÃO DEPOIS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que pode dar errado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Risco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Gravidade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tratar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Amostra rala — especialistas publicam poucas vezes por mês, não por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abandonar a frequência diária; trabalhar em base mensal, que é o nosso melhor horizonte de todo modo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Viés de seleção — analista escreve mais quando há notícia grande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declarar como limitação; comparar sempre contra amostra de controle, nunca contra o conjunto todo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Arquivo histórico incompleto ou reescrito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registrar a data de coleta e guardar o HTML bruto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Termos de uso e robots.txt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respeitar; onde houver bloqueio, amostra manual ou acesso institucional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Chamada sem horizonte declarado — “vai subir”, mas quando?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fixar horizonte por convenção e testar sensibilidade em 1, 5 e 22 pregões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especialista errar muito e o resultado parecer deboche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BAIXA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achado, não deboche. Apresentar com o número da literatura ao lado e sem adjetivo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RECOMENDO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Perguntar à PUCPR sobre Economatica ou Refinitiv.</w:t>
      </w:r>
      <w:r>
        <w:rPr>
          <w:rFonts w:ascii="Times New Roman" w:hAnsi="Times New Roman"/>
          <w:sz w:val="24"/>
        </w:rPr>
        <w:t xml:space="preserve"> Uma pergunta; muda tudo se a resposta for sim.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Fazer o E1 primeiro</w:t>
      </w:r>
      <w:r>
        <w:rPr>
          <w:rFonts w:ascii="Times New Roman" w:hAnsi="Times New Roman"/>
          <w:sz w:val="24"/>
        </w:rPr>
        <w:t>, com as carteiras mensais. É o de melhor relação entre valor e risco, e rende nos dois desfechos possíveis.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Fazer uma sondagem de trinta casos do E2</w:t>
      </w:r>
      <w:r>
        <w:rPr>
          <w:rFonts w:ascii="Times New Roman" w:hAnsi="Times New Roman"/>
          <w:sz w:val="24"/>
        </w:rPr>
        <w:t xml:space="preserve"> antes de decidir se escala.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Deixar o E3 por último</w:t>
      </w:r>
      <w:r>
        <w:rPr>
          <w:rFonts w:ascii="Times New Roman" w:hAnsi="Times New Roman"/>
          <w:sz w:val="24"/>
        </w:rPr>
        <w:t xml:space="preserve"> — depende do E2 estar de pé.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usar o preço para validar rótulo</w:t>
      </w:r>
      <w:r>
        <w:rPr>
          <w:rFonts w:ascii="Times New Roman" w:hAnsi="Times New Roman"/>
          <w:sz w:val="24"/>
        </w:rPr>
        <w:t>, em nenhum dos três.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uma observação de método que convém dizer aos professores:</w:t>
      </w:r>
      <w:r>
        <w:rPr>
          <w:rFonts w:ascii="Times New Roman" w:hAnsi="Times New Roman"/>
          <w:sz w:val="24"/>
        </w:rPr>
        <w:t xml:space="preserve"> o pedido, como formulado, tem dentro de si um experimento excelente e uma armadilha metodológica. Separar os dois </w:t>
      </w:r>
      <w:r>
        <w:rPr>
          <w:rFonts w:ascii="Times New Roman" w:hAnsi="Times New Roman"/>
          <w:b/>
          <w:sz w:val="24"/>
        </w:rPr>
        <w:t>antes</w:t>
      </w:r>
      <w:r>
        <w:rPr>
          <w:rFonts w:ascii="Times New Roman" w:hAnsi="Times New Roman"/>
          <w:sz w:val="24"/>
        </w:rPr>
        <w:t xml:space="preserve"> de coletar dado é mais barato que descobrir depois — e é o tipo de cuidado que a banca reconhece.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