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28"/>
        </w:rPr>
        <w:t>COMO LER OS NÚMEROS DESTA PESQUISA</w:t>
      </w:r>
    </w:p>
    <w:p>
      <w:pPr>
        <w:jc w:val="center"/>
      </w:pPr>
      <w:r>
        <w:rPr>
          <w:rFonts w:ascii="Times New Roman" w:hAnsi="Times New Roman"/>
          <w:i/>
          <w:sz w:val="24"/>
        </w:rPr>
        <w:t>Acurácia, AUC, linha de base e valor-p — com exemplos, ilustrações e as metas que devemos perseguir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Vanderlei Barbosa da Silva</w:t>
      </w:r>
    </w:p>
    <w:p>
      <w:pPr>
        <w:jc w:val="center"/>
      </w:pPr>
      <w:r>
        <w:rPr>
          <w:rFonts w:ascii="Times New Roman" w:hAnsi="Times New Roman"/>
          <w:sz w:val="24"/>
        </w:rPr>
        <w:t>Orientador: Prof. Dr. Julio Cesar Nievola</w:t>
      </w:r>
    </w:p>
    <w:p>
      <w:pPr>
        <w:jc w:val="center"/>
      </w:pPr>
      <w:r>
        <w:rPr>
          <w:rFonts w:ascii="Times New Roman" w:hAnsi="Times New Roman"/>
          <w:sz w:val="24"/>
        </w:rPr>
        <w:t>PUCPR — Programa de Pós-Graduação em Informática (PPGIa)</w:t>
      </w:r>
    </w:p>
    <w:p/>
    <w:p>
      <w:pPr>
        <w:ind w:left="4535"/>
        <w:jc w:val="both"/>
      </w:pPr>
      <w:r>
        <w:rPr>
          <w:rFonts w:ascii="Times New Roman" w:hAnsi="Times New Roman"/>
          <w:sz w:val="20"/>
        </w:rPr>
        <w:t>Guia de leitura preparado para sustentar a discussão dos resultados com a orientação. Não introduz resultado novo: explica como interpretar os que já existem, e define contra que referência cada um deve ser julgado. Elaborado em 21 de setembro de 2026.</w:t>
      </w:r>
    </w:p>
    <w:p>
      <w:r>
        <w:br w:type="page"/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 A PERGUNTA QUE ORGANIZA TUDO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Há uma única pergunta por trás de toda métrica desta pesquisa, e vale a pena enunciá-la antes de qualquer fórmula:</w:t>
      </w:r>
    </w:p>
    <w:p>
      <w:pPr>
        <w:spacing w:line="240" w:lineRule="auto" w:before="120" w:after="120"/>
        <w:ind w:left="2268"/>
        <w:jc w:val="both"/>
      </w:pPr>
      <w:r>
        <w:rPr>
          <w:rFonts w:ascii="Times New Roman" w:hAnsi="Times New Roman"/>
          <w:sz w:val="20"/>
        </w:rPr>
        <w:t>Este modelo sabe alguma coisa que eu já não saberia sem ele?</w:t>
      </w:r>
    </w:p>
    <w:p>
      <w:pPr>
        <w:jc w:val="right"/>
      </w:pPr>
      <w:r>
        <w:rPr>
          <w:rFonts w:ascii="Times New Roman" w:hAnsi="Times New Roman"/>
          <w:sz w:val="20"/>
        </w:rPr>
        <w:t>A pergunta que toda métrica tenta responder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Repare que a pergunta </w:t>
      </w:r>
      <w:r>
        <w:rPr>
          <w:rFonts w:ascii="Times New Roman" w:hAnsi="Times New Roman"/>
          <w:b/>
          <w:sz w:val="24"/>
        </w:rPr>
        <w:t>não</w:t>
      </w:r>
      <w:r>
        <w:rPr>
          <w:rFonts w:ascii="Times New Roman" w:hAnsi="Times New Roman"/>
          <w:sz w:val="24"/>
        </w:rPr>
        <w:t xml:space="preserve"> é *“o modelo acerta muito?”*. Um modelo pode acertar muitíssimo e não saber nada — e esse caso não é raro nem exótico: </w:t>
      </w:r>
      <w:r>
        <w:rPr>
          <w:rFonts w:ascii="Times New Roman" w:hAnsi="Times New Roman"/>
          <w:b/>
          <w:sz w:val="24"/>
        </w:rPr>
        <w:t>acontece exatamente no nosso alvo de dia excepcional</w:t>
      </w:r>
      <w:r>
        <w:rPr>
          <w:rFonts w:ascii="Times New Roman" w:hAnsi="Times New Roman"/>
          <w:sz w:val="24"/>
        </w:rPr>
        <w:t>, como a próxima seção mostra.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Por isso, em todas as tabelas da pesquisa, a acurácia </w:t>
      </w:r>
      <w:r>
        <w:rPr>
          <w:rFonts w:ascii="Times New Roman" w:hAnsi="Times New Roman"/>
          <w:b/>
          <w:sz w:val="24"/>
        </w:rPr>
        <w:t>nunca aparece sozinha</w:t>
      </w:r>
      <w:r>
        <w:rPr>
          <w:rFonts w:ascii="Times New Roman" w:hAnsi="Times New Roman"/>
          <w:sz w:val="24"/>
        </w:rPr>
        <w:t>. Ao lado dela vêm sempre três companhias: a linha de base, o ganho sobre ela, e um valor-p. Quem lê só a primeira coluna lê errado.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2 ACURÁCIA E AUC NÃO SÃO A MESMA COISA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Acurácia</w:t>
      </w:r>
      <w:r>
        <w:rPr>
          <w:rFonts w:ascii="Times New Roman" w:hAnsi="Times New Roman"/>
          <w:sz w:val="24"/>
        </w:rPr>
        <w:t xml:space="preserve"> responde: *de todos os palpites, quantos acertei?* O modelo precisa se comprometer — dizer “alta” ou “baixa” — e conta-se o placar.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AUC</w:t>
      </w:r>
      <w:r>
        <w:rPr>
          <w:rFonts w:ascii="Times New Roman" w:hAnsi="Times New Roman"/>
          <w:sz w:val="24"/>
        </w:rPr>
        <w:t xml:space="preserve"> responde outra coisa: *pego um pregão que de fato foi agitado e um que foi calmo, ao acaso; com que frequência o modelo deu nota maior ao agitado?* Aqui o modelo não precisa decidir nada — basta </w:t>
      </w:r>
      <w:r>
        <w:rPr>
          <w:rFonts w:ascii="Times New Roman" w:hAnsi="Times New Roman"/>
          <w:b/>
          <w:sz w:val="24"/>
        </w:rPr>
        <w:t>ordenar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figura a seguir mostra os mesmos vinte pregões julgados por dois modelos. </w:t>
      </w:r>
      <w:r>
        <w:rPr>
          <w:rFonts w:ascii="Times New Roman" w:hAnsi="Times New Roman"/>
          <w:b/>
          <w:sz w:val="24"/>
        </w:rPr>
        <w:t>O modelo que acerta mais é o pior dos dois.</w:t>
      </w:r>
      <w:r>
        <w:rPr>
          <w:rFonts w:ascii="Times New Roman" w:hAnsi="Times New Roman"/>
          <w:sz w:val="24"/>
        </w:rPr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Figura 1 – Dois modelos sobre os mesmos vinte pregões: o que acerta mais não sabe nada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232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curacia_vs_au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23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</w:t>
      </w:r>
      <w:r>
        <w:rPr>
          <w:rFonts w:ascii="Times New Roman" w:hAnsi="Times New Roman"/>
          <w:b/>
          <w:sz w:val="24"/>
        </w:rPr>
        <w:t>Modelo A</w:t>
      </w:r>
      <w:r>
        <w:rPr>
          <w:rFonts w:ascii="Times New Roman" w:hAnsi="Times New Roman"/>
          <w:sz w:val="24"/>
        </w:rPr>
        <w:t xml:space="preserve"> responde “calmo” para tudo. Como pregões agitados são raros, ele acerta 85% das vezes. </w:t>
      </w:r>
      <w:r>
        <w:rPr>
          <w:rFonts w:ascii="Times New Roman" w:hAnsi="Times New Roman"/>
          <w:b/>
          <w:sz w:val="24"/>
        </w:rPr>
        <w:t>E é inútil:</w:t>
      </w:r>
      <w:r>
        <w:rPr>
          <w:rFonts w:ascii="Times New Roman" w:hAnsi="Times New Roman"/>
          <w:sz w:val="24"/>
        </w:rPr>
        <w:t xml:space="preserve"> nunca aponta um pregão agitado, que é justamente o que se queria descobrir. A AUC dele é 0,50 — o mesmo de cara ou coroa.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</w:t>
      </w:r>
      <w:r>
        <w:rPr>
          <w:rFonts w:ascii="Times New Roman" w:hAnsi="Times New Roman"/>
          <w:b/>
          <w:sz w:val="24"/>
        </w:rPr>
        <w:t>Modelo B</w:t>
      </w:r>
      <w:r>
        <w:rPr>
          <w:rFonts w:ascii="Times New Roman" w:hAnsi="Times New Roman"/>
          <w:sz w:val="24"/>
        </w:rPr>
        <w:t xml:space="preserve"> acerta menos, 80%, mas </w:t>
      </w:r>
      <w:r>
        <w:rPr>
          <w:rFonts w:ascii="Times New Roman" w:hAnsi="Times New Roman"/>
          <w:b/>
          <w:sz w:val="24"/>
        </w:rPr>
        <w:t>ordena bem</w:t>
      </w:r>
      <w:r>
        <w:rPr>
          <w:rFonts w:ascii="Times New Roman" w:hAnsi="Times New Roman"/>
          <w:sz w:val="24"/>
        </w:rPr>
        <w:t>: as três barras laranja estão entre as notas mais altas. A AUC dá 0,94. É este que serve.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diferença fica mais clara quando se olha a distribuição das notas. </w:t>
      </w:r>
      <w:r>
        <w:rPr>
          <w:rFonts w:ascii="Times New Roman" w:hAnsi="Times New Roman"/>
          <w:b/>
          <w:sz w:val="24"/>
        </w:rPr>
        <w:t>A acurácia depende de onde você põe o corte. A AUC não depende do corte — ela mede o quanto as duas populações estão separadas.</w:t>
      </w:r>
      <w:r>
        <w:rPr>
          <w:rFonts w:ascii="Times New Roman" w:hAnsi="Times New Roman"/>
          <w:sz w:val="24"/>
        </w:rPr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Figura 2 – A AUC mede a separação entre as duas distribuições, não a posição do corte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4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o_que_a_auc_me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1 – As duas métricas, lado a lado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Acurácia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AUC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que responde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quantos acertei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sei distinguir um caso do outro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precisa de um corte?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sim, em geral 0,50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engana quando...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uma classe é muito mais comum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raramente engana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valor do acaso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classe majoritária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0,500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abaixo do acaso significa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pior que o palpite fixo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ordena ao contrário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3 AS DUAS ARMADILHAS, NOS NOSSOS PRÓPRIOS NÚMEROS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Isto não é teoria. As duas armadilhas aparecem nos resultados desta pesquisa, uma em cada direção.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3.1 Acurácia alta, modelo inútil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No alvo “dia excepcional”, apenas </w:t>
      </w:r>
      <w:r>
        <w:rPr>
          <w:rFonts w:ascii="Times New Roman" w:hAnsi="Times New Roman"/>
          <w:b/>
          <w:sz w:val="24"/>
        </w:rPr>
        <w:t>6,3%</w:t>
      </w:r>
      <w:r>
        <w:rPr>
          <w:rFonts w:ascii="Times New Roman" w:hAnsi="Times New Roman"/>
          <w:sz w:val="24"/>
        </w:rPr>
        <w:t xml:space="preserve"> dos pregões são excepcionais. Um modelo que responda </w:t>
      </w:r>
      <w:r>
        <w:rPr>
          <w:rFonts w:ascii="Times New Roman" w:hAnsi="Times New Roman"/>
          <w:b/>
          <w:sz w:val="24"/>
        </w:rPr>
        <w:t>“não vai ser excepcional” sempre</w:t>
      </w:r>
      <w:r>
        <w:rPr>
          <w:rFonts w:ascii="Times New Roman" w:hAnsi="Times New Roman"/>
          <w:sz w:val="24"/>
        </w:rPr>
        <w:t xml:space="preserve"> acerta </w:t>
      </w:r>
      <w:r>
        <w:rPr>
          <w:rFonts w:ascii="Times New Roman" w:hAnsi="Times New Roman"/>
          <w:b/>
          <w:sz w:val="24"/>
        </w:rPr>
        <w:t>93,7%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nosso modelo de mercado obteve acurácia de </w:t>
      </w:r>
      <w:r>
        <w:rPr>
          <w:rFonts w:ascii="Times New Roman" w:hAnsi="Times New Roman"/>
          <w:b/>
          <w:sz w:val="24"/>
        </w:rPr>
        <w:t>93,6% — pior que o palpite fixo</w:t>
      </w:r>
      <w:r>
        <w:rPr>
          <w:rFonts w:ascii="Times New Roman" w:hAnsi="Times New Roman"/>
          <w:sz w:val="24"/>
        </w:rPr>
        <w:t xml:space="preserve"> — e AUC de </w:t>
      </w:r>
      <w:r>
        <w:rPr>
          <w:rFonts w:ascii="Times New Roman" w:hAnsi="Times New Roman"/>
          <w:b/>
          <w:sz w:val="24"/>
        </w:rPr>
        <w:t>0,794</w:t>
      </w:r>
      <w:r>
        <w:rPr>
          <w:rFonts w:ascii="Times New Roman" w:hAnsi="Times New Roman"/>
          <w:sz w:val="24"/>
        </w:rPr>
        <w:t xml:space="preserve">. Pela acurácia, perdeu. Pela AUC, é claramente bom. </w:t>
      </w:r>
      <w:r>
        <w:rPr>
          <w:rFonts w:ascii="Times New Roman" w:hAnsi="Times New Roman"/>
          <w:b/>
          <w:sz w:val="24"/>
        </w:rPr>
        <w:t>A AUC estava certa</w:t>
      </w:r>
      <w:r>
        <w:rPr>
          <w:rFonts w:ascii="Times New Roman" w:hAnsi="Times New Roman"/>
          <w:sz w:val="24"/>
        </w:rPr>
        <w:t>, e a figura seguinte mostra por quê.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Figura 3 – O que a AUC significa na prática, com os dados reais da pesquisa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086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ganho_por_faix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08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Ordenando os pregões pela nota de risco do modelo, </w:t>
      </w:r>
      <w:r>
        <w:rPr>
          <w:rFonts w:ascii="Times New Roman" w:hAnsi="Times New Roman"/>
          <w:b/>
          <w:sz w:val="24"/>
        </w:rPr>
        <w:t>os 10% apontados como mais arriscados concentram 28,8% dos dias excepcionais</w:t>
      </w:r>
      <w:r>
        <w:rPr>
          <w:rFonts w:ascii="Times New Roman" w:hAnsi="Times New Roman"/>
          <w:sz w:val="24"/>
        </w:rPr>
        <w:t xml:space="preserve">, contra 6,3% da base. E a metade mais calma concentra apenas 1,4%. </w:t>
      </w:r>
      <w:r>
        <w:rPr>
          <w:rFonts w:ascii="Times New Roman" w:hAnsi="Times New Roman"/>
          <w:b/>
          <w:sz w:val="24"/>
        </w:rPr>
        <w:t>Isso é informação real</w:t>
      </w:r>
      <w:r>
        <w:rPr>
          <w:rFonts w:ascii="Times New Roman" w:hAnsi="Times New Roman"/>
          <w:sz w:val="24"/>
        </w:rPr>
        <w:t>, e a acurácia não a enxergava.</w:t>
      </w:r>
    </w:p>
    <w:p>
      <w:pPr>
        <w:keepNext/>
        <w:spacing w:before="240" w:after="120"/>
      </w:pPr>
      <w:r>
        <w:rPr>
          <w:rFonts w:ascii="Times New Roman" w:hAnsi="Times New Roman"/>
          <w:b/>
          <w:sz w:val="24"/>
        </w:rPr>
        <w:t>3.2 Acurácia boa, ordenação ao contrário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No alvo direção, o SVM com Data Fusion mais CVM acertou </w:t>
      </w:r>
      <w:r>
        <w:rPr>
          <w:rFonts w:ascii="Times New Roman" w:hAnsi="Times New Roman"/>
          <w:b/>
          <w:sz w:val="24"/>
        </w:rPr>
        <w:t>54,36%</w:t>
      </w:r>
      <w:r>
        <w:rPr>
          <w:rFonts w:ascii="Times New Roman" w:hAnsi="Times New Roman"/>
          <w:sz w:val="24"/>
        </w:rPr>
        <w:t xml:space="preserve">, acima da classe majoritária de 53,14%, Mas a AUC deu </w:t>
      </w:r>
      <w:r>
        <w:rPr>
          <w:rFonts w:ascii="Times New Roman" w:hAnsi="Times New Roman"/>
          <w:b/>
          <w:sz w:val="24"/>
        </w:rPr>
        <w:t>0,489 — abaixo de 0,500</w:t>
      </w:r>
      <w:r>
        <w:rPr>
          <w:rFonts w:ascii="Times New Roman" w:hAnsi="Times New Roman"/>
          <w:sz w:val="24"/>
        </w:rPr>
        <w:t>,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Traduzindo:</w:t>
      </w:r>
      <w:r>
        <w:rPr>
          <w:rFonts w:ascii="Times New Roman" w:hAnsi="Times New Roman"/>
          <w:sz w:val="24"/>
        </w:rPr>
        <w:t xml:space="preserve"> aquele modelo acertou o placar por ter chutado “alta” na proporção certa, </w:t>
      </w:r>
      <w:r>
        <w:rPr>
          <w:rFonts w:ascii="Times New Roman" w:hAnsi="Times New Roman"/>
          <w:b/>
          <w:sz w:val="24"/>
        </w:rPr>
        <w:t>não por saber distinguir um pregão do outro</w:t>
      </w:r>
      <w:r>
        <w:rPr>
          <w:rFonts w:ascii="Times New Roman" w:hAnsi="Times New Roman"/>
          <w:sz w:val="24"/>
        </w:rPr>
        <w:t>. Se você sortear um pregão de alta e um de baixa, ele dá nota maior ao de baixa mais vezes do que ao de alta. É uma bússola que aponta levemente para o sul.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É por isso que esse número não deve ser apresentado como conquista.</w:t>
      </w:r>
      <w:r>
        <w:rPr>
          <w:rFonts w:ascii="Times New Roman" w:hAnsi="Times New Roman"/>
          <w:sz w:val="24"/>
        </w:rPr>
        <w:t xml:space="preserve"> Se a banca perguntar, a resposta honesta é a de cima.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4 A LINHA DE BASE: CONTRA QUEM COMPARAR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Nenhum número significa nada isoladamente. </w:t>
      </w:r>
      <w:r>
        <w:rPr>
          <w:rFonts w:ascii="Times New Roman" w:hAnsi="Times New Roman"/>
          <w:b/>
          <w:sz w:val="24"/>
        </w:rPr>
        <w:t>O que significa é a distância até a referência certa</w:t>
      </w:r>
      <w:r>
        <w:rPr>
          <w:rFonts w:ascii="Times New Roman" w:hAnsi="Times New Roman"/>
          <w:sz w:val="24"/>
        </w:rPr>
        <w:t xml:space="preserve"> — e a referência muda conforme o alvo.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Figura 4 – Direção do pregão seguinte: o adversário é a linha vermelha, não o zero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190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irecao_linhas_b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1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A linha vermelha é a </w:t>
      </w:r>
      <w:r>
        <w:rPr>
          <w:rFonts w:ascii="Times New Roman" w:hAnsi="Times New Roman"/>
          <w:b/>
          <w:sz w:val="24"/>
        </w:rPr>
        <w:t>classe majoritária</w:t>
      </w:r>
      <w:r>
        <w:rPr>
          <w:rFonts w:ascii="Times New Roman" w:hAnsi="Times New Roman"/>
          <w:sz w:val="24"/>
        </w:rPr>
        <w:t xml:space="preserve">: o resultado de quem responde “sempre alta”, sem ler nada. </w:t>
      </w:r>
      <w:r>
        <w:rPr>
          <w:rFonts w:ascii="Times New Roman" w:hAnsi="Times New Roman"/>
          <w:b/>
          <w:sz w:val="24"/>
        </w:rPr>
        <w:t>Nenhuma barra a supera de forma confiável.</w:t>
      </w:r>
      <w:r>
        <w:rPr>
          <w:rFonts w:ascii="Times New Roman" w:hAnsi="Times New Roman"/>
          <w:sz w:val="24"/>
        </w:rPr>
        <w:t xml:space="preserve"> A linha cinza, de 50%, é o acaso da hipótese de mercados eficientes — bater essa é fácil e não prova coisa alguma quando a classe majoritária está acima dela.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Este é o erro de leitura mais comum nesta área</w:t>
      </w:r>
      <w:r>
        <w:rPr>
          <w:rFonts w:ascii="Times New Roman" w:hAnsi="Times New Roman"/>
          <w:sz w:val="24"/>
        </w:rPr>
        <w:t xml:space="preserve">, e convém saber apontá-lo: o valor-p binomial compara com </w:t>
      </w:r>
      <w:r>
        <w:rPr>
          <w:rFonts w:ascii="Times New Roman" w:hAnsi="Times New Roman"/>
          <w:b/>
          <w:sz w:val="24"/>
        </w:rPr>
        <w:t>50%</w:t>
      </w:r>
      <w:r>
        <w:rPr>
          <w:rFonts w:ascii="Times New Roman" w:hAnsi="Times New Roman"/>
          <w:sz w:val="24"/>
        </w:rPr>
        <w:t xml:space="preserve">. Com 53,14% dos pregões sendo de alta, um modelo pode passar no teste binomial e ainda assim ser </w:t>
      </w:r>
      <w:r>
        <w:rPr>
          <w:rFonts w:ascii="Times New Roman" w:hAnsi="Times New Roman"/>
          <w:b/>
          <w:sz w:val="24"/>
        </w:rPr>
        <w:t>pior que não fazer nada</w:t>
      </w:r>
      <w:r>
        <w:rPr>
          <w:rFonts w:ascii="Times New Roman" w:hAnsi="Times New Roman"/>
          <w:sz w:val="24"/>
        </w:rPr>
        <w:t>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5 O VALOR-P, SEM MISTÉRIO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valor-p responde a uma pergunta estreita e específica: </w:t>
      </w:r>
      <w:r>
        <w:rPr>
          <w:rFonts w:ascii="Times New Roman" w:hAnsi="Times New Roman"/>
          <w:b/>
          <w:sz w:val="24"/>
        </w:rPr>
        <w:t>“se não houvesse efeito nenhum, com que frequência o acaso produziria um resultado ao menos tão forte quanto este?”</w:t>
      </w:r>
      <w:r>
        <w:rPr>
          <w:rFonts w:ascii="Times New Roman" w:hAnsi="Times New Roman"/>
          <w:sz w:val="24"/>
        </w:rPr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2 – Como ler um valor-p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valor-p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Leitura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 que dizer na banca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menor que 0,01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muito difícil de atribuir ao acaso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“o resultado se sustenta”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entre 0,01 e 0,05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improvável, mas possível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“passa no teste usual”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entre 0,05 e 0,10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sugestivo, não conclusivo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“há indício, não há prova”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acima de 0,10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acaso explicaria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“não podemos afirmar nada”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Três advertências que evitam constrangimento: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valor-p alto não prova que não há efeito</w:t>
      </w:r>
      <w:r>
        <w:rPr>
          <w:rFonts w:ascii="Times New Roman" w:hAnsi="Times New Roman"/>
          <w:sz w:val="24"/>
        </w:rPr>
        <w:t xml:space="preserve"> — prova apenas que a amostra não foi suficiente para detectá-lo. É o nosso caso na hipótese da CVM como filtro, que precisaria de ~15.200 noites e tem 393;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valor-p baixo não mede tamanho de efeito.</w:t>
      </w:r>
      <w:r>
        <w:rPr>
          <w:rFonts w:ascii="Times New Roman" w:hAnsi="Times New Roman"/>
          <w:sz w:val="24"/>
        </w:rPr>
        <w:t xml:space="preserve"> Um efeito minúsculo fica significativo se a amostra for enorme. Por isso reportamos sempre o ganho em pontos percentuais ao lado do valor-p;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testar muitas hipóteses infla o valor-p.</w:t>
      </w:r>
      <w:r>
        <w:rPr>
          <w:rFonts w:ascii="Times New Roman" w:hAnsi="Times New Roman"/>
          <w:sz w:val="24"/>
        </w:rPr>
        <w:t xml:space="preserve"> Se eu testar vinte coisas, uma delas dará p &lt; 0,05 por puro acaso. É por isso que registramos quantos alvos foram testados antes de chegar ao que funcionou.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6 O TESTE DE MCNEMAR, QUE É O QUE REALMENTE DECIDE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Quando a pergunta é </w:t>
      </w:r>
      <w:r>
        <w:rPr>
          <w:rFonts w:ascii="Times New Roman" w:hAnsi="Times New Roman"/>
          <w:b/>
          <w:sz w:val="24"/>
        </w:rPr>
        <w:t>“esta fonte nova acrescenta?”</w:t>
      </w:r>
      <w:r>
        <w:rPr>
          <w:rFonts w:ascii="Times New Roman" w:hAnsi="Times New Roman"/>
          <w:sz w:val="24"/>
        </w:rPr>
        <w:t xml:space="preserve">, comparar duas acurácias é insuficiente — os dois modelos podem acertar o mesmo número de pregões e ainda assim acertar pregões </w:t>
      </w:r>
      <w:r>
        <w:rPr>
          <w:rFonts w:ascii="Times New Roman" w:hAnsi="Times New Roman"/>
          <w:b/>
          <w:sz w:val="24"/>
        </w:rPr>
        <w:t>diferentes</w:t>
      </w:r>
      <w:r>
        <w:rPr>
          <w:rFonts w:ascii="Times New Roman" w:hAnsi="Times New Roman"/>
          <w:sz w:val="24"/>
        </w:rPr>
        <w:t>.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O McNemar resolve isso. Ele </w:t>
      </w:r>
      <w:r>
        <w:rPr>
          <w:rFonts w:ascii="Times New Roman" w:hAnsi="Times New Roman"/>
          <w:b/>
          <w:sz w:val="24"/>
        </w:rPr>
        <w:t>joga fora todos os pregões em que os dois modelos concordam</w:t>
      </w:r>
      <w:r>
        <w:rPr>
          <w:rFonts w:ascii="Times New Roman" w:hAnsi="Times New Roman"/>
          <w:sz w:val="24"/>
        </w:rPr>
        <w:t xml:space="preserve"> e olha apenas onde discordam: quantas vezes o novo acertou onde o antigo errou, contra o inverso.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3 – O McNemar aplicado às nossas fontes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Pergunta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Ganhou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Perdeu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valor-p</w:t>
            </w:r>
          </w:p>
        </w:tc>
        <w:tc>
          <w:tcPr>
            <w:tcW w:type="dxa" w:w="188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Resposta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notícia acrescenta sobre o preço? (XGBoost)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88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65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0,0750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quase, mas não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CVM acrescenta sobre a notícia? (SVM)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37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25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0,1619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CVM acrescenta sobre a notícia? (XGBoost)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64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77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0,3122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</w:t>
            </w:r>
          </w:p>
        </w:tc>
      </w:tr>
      <w:tr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embedding acrescenta? (SVM)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27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55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0,0026</w:t>
            </w:r>
          </w:p>
        </w:tc>
        <w:tc>
          <w:tcPr>
            <w:tcW w:type="dxa" w:w="188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PIORA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Leia a última linha com atenção</w:t>
      </w:r>
      <w:r>
        <w:rPr>
          <w:rFonts w:ascii="Times New Roman" w:hAnsi="Times New Roman"/>
          <w:sz w:val="24"/>
        </w:rPr>
        <w:t xml:space="preserve">, porque ela é contraintuitiva: o embedding tem valor-p de 0,0026, que é “significativo” — mas significativamente </w:t>
      </w:r>
      <w:r>
        <w:rPr>
          <w:rFonts w:ascii="Times New Roman" w:hAnsi="Times New Roman"/>
          <w:b/>
          <w:sz w:val="24"/>
        </w:rPr>
        <w:t>pior</w:t>
      </w:r>
      <w:r>
        <w:rPr>
          <w:rFonts w:ascii="Times New Roman" w:hAnsi="Times New Roman"/>
          <w:sz w:val="24"/>
        </w:rPr>
        <w:t xml:space="preserve">. Ganhou 27 e perdeu 55. </w:t>
      </w:r>
      <w:r>
        <w:rPr>
          <w:rFonts w:ascii="Times New Roman" w:hAnsi="Times New Roman"/>
          <w:b/>
          <w:sz w:val="24"/>
        </w:rPr>
        <w:t>Significância não é sinônimo de boa notícia.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7 VOLATILIDADE SE MEDE DE OUTRO JEITO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Para volatilidade, acurácia é a métrica errada — não se está classificando, e sim estimando uma quantidade. A pesquisa usa duas medidas de erro e uma referência.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4 – As medidas da volatilidade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Medida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O que é</w:t>
            </w:r>
          </w:p>
        </w:tc>
        <w:tc>
          <w:tcPr>
            <w:tcW w:type="dxa" w:w="3135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Queremos que seja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MAE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erro absoluto médio da previsão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menor possível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RMSE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como o MAE, mas pune mais os erros grandes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menor possível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R²-OS vs HAR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quanto o modelo reduz o erro do HAR de Corsi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positivo, e quanto maior melhor</w:t>
            </w:r>
          </w:p>
        </w:tc>
      </w:tr>
      <w:tr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 HAR de Corsi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 volatilidade explicada pelas suas próprias médias de 1, 5 e 22 dias</w:t>
            </w:r>
          </w:p>
        </w:tc>
        <w:tc>
          <w:tcPr>
            <w:tcW w:type="dxa" w:w="3135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é o adversário, não o troféu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Por que o HAR é o adversário certo:</w:t>
      </w:r>
      <w:r>
        <w:rPr>
          <w:rFonts w:ascii="Times New Roman" w:hAnsi="Times New Roman"/>
          <w:sz w:val="24"/>
        </w:rPr>
        <w:t xml:space="preserve"> volatilidade é grudenta. Depois de uma semana agitada vem outra agitada. Qualquer modelo que não bata a própria memória da série não está acrescentando nada. É o mesmo princípio da “média da semana anterior” que o Prof. Emerson sugeriu para o estudo de evento — </w:t>
      </w:r>
      <w:r>
        <w:rPr>
          <w:rFonts w:ascii="Times New Roman" w:hAnsi="Times New Roman"/>
          <w:b/>
          <w:sz w:val="24"/>
        </w:rPr>
        <w:t>comparar com o passado recente, não com uma média distante.</w:t>
      </w:r>
      <w:r>
        <w:rPr>
          <w:rFonts w:ascii="Times New Roman" w:hAnsi="Times New Roman"/>
          <w:sz w:val="24"/>
        </w:rPr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Uma consequência a ter na ponta da língua: quando eu digo que o histórico de preço prevê a volatilidade melhor que o texto, </w:t>
      </w:r>
      <w:r>
        <w:rPr>
          <w:rFonts w:ascii="Times New Roman" w:hAnsi="Times New Roman"/>
          <w:b/>
          <w:sz w:val="24"/>
        </w:rPr>
        <w:t>isso não é descoberta minha — é o HAR</w:t>
      </w:r>
      <w:r>
        <w:rPr>
          <w:rFonts w:ascii="Times New Roman" w:hAnsi="Times New Roman"/>
          <w:sz w:val="24"/>
        </w:rPr>
        <w:t xml:space="preserve">, a linha de base que o Capítulo 3 já adota. O achado real é outro: </w:t>
      </w:r>
      <w:r>
        <w:rPr>
          <w:rFonts w:ascii="Times New Roman" w:hAnsi="Times New Roman"/>
          <w:b/>
          <w:sz w:val="24"/>
        </w:rPr>
        <w:t>o texto não reduz o erro dessa referência.</w:t>
      </w:r>
      <w:r>
        <w:rPr>
          <w:rFonts w:ascii="Times New Roman" w:hAnsi="Times New Roman"/>
          <w:sz w:val="24"/>
        </w:rPr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8 AS METAS: O QUE DEVEMOS PERSEGUIR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 xml:space="preserve">Uma pergunta legítima é *“qual número seria bom?”*. A resposta depende do alvo, e </w:t>
      </w:r>
      <w:r>
        <w:rPr>
          <w:rFonts w:ascii="Times New Roman" w:hAnsi="Times New Roman"/>
          <w:b/>
          <w:sz w:val="24"/>
        </w:rPr>
        <w:t>não é “perto de 1”</w:t>
      </w:r>
      <w:r>
        <w:rPr>
          <w:rFonts w:ascii="Times New Roman" w:hAnsi="Times New Roman"/>
          <w:sz w:val="24"/>
        </w:rPr>
        <w:t>.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Figura 5 – As metas realistas de cada alvo, e onde a pesquisa está hoje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294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o_que_busc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29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Acurácia perto de 1 em direção de ação é sinal de erro, não de qualidade.</w:t>
      </w:r>
      <w:r>
        <w:rPr>
          <w:rFonts w:ascii="Times New Roman" w:hAnsi="Times New Roman"/>
          <w:sz w:val="24"/>
        </w:rPr>
        <w:t xml:space="preserve"> Se o mercado fosse assim previsível, a informação seria explorada e o ganho desapareceria. Quando aparece um número alto, quase sempre é uma destas três coisas:</w:t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5 – De onde vêm os números altos que se vê na literatura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4702"/>
        <w:gridCol w:w="4702"/>
      </w:tblGrid>
      <w:tr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Causa</w:t>
            </w:r>
          </w:p>
        </w:tc>
        <w:tc>
          <w:tcPr>
            <w:tcW w:type="dxa" w:w="4702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Exemplo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vazamento de informação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alguma coluna carrega dado do próprio dia que se quer prever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amostra minúscula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os 86,7% de Bollen eram 13 acertos em 15 dias — e foram refutados</w:t>
            </w:r>
          </w:p>
        </w:tc>
      </w:tr>
      <w:tr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alvo desbalanceado</w:t>
            </w:r>
          </w:p>
        </w:tc>
        <w:tc>
          <w:tcPr>
            <w:tcW w:type="dxa" w:w="4702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responder “não” sempre, no nosso alvo de dia excepcional, dá 93,7%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 a regra de que “AUC boa é acima de 0,7” vem da medicina e não se aplica à direção de ações.</w:t>
      </w:r>
      <w:r>
        <w:rPr>
          <w:rFonts w:ascii="Times New Roman" w:hAnsi="Times New Roman"/>
          <w:sz w:val="24"/>
        </w:rPr>
        <w:t xml:space="preserve"> O próprio referencial da pesquisa registra que o FinBERT em inglês fica em 0,555 em situação equivalente. O que vale é outra coisa: </w:t>
      </w:r>
      <w:r>
        <w:rPr>
          <w:rFonts w:ascii="Times New Roman" w:hAnsi="Times New Roman"/>
          <w:b/>
          <w:sz w:val="24"/>
        </w:rPr>
        <w:t>o intervalo de confiança da AUC exclui o 0,50?</w:t>
      </w:r>
      <w:r>
        <w:rPr>
          <w:rFonts w:ascii="Times New Roman" w:hAnsi="Times New Roman"/>
          <w:sz w:val="24"/>
        </w:rPr>
      </w:r>
    </w:p>
    <w:p>
      <w:pPr>
        <w:spacing w:line="240" w:lineRule="auto" w:before="120" w:after="40"/>
        <w:jc w:val="center"/>
      </w:pPr>
      <w:r>
        <w:rPr>
          <w:rFonts w:ascii="Times New Roman" w:hAnsi="Times New Roman"/>
          <w:sz w:val="20"/>
        </w:rPr>
        <w:t>Tabela 6 – As AUC desta pesquisa, com intervalo de confiança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V w:val="none" w:sz="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Modelo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AUC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Intervalo de 95%</w:t>
            </w:r>
          </w:p>
        </w:tc>
        <w:tc>
          <w:tcPr>
            <w:tcW w:type="dxa" w:w="2351"/>
            <w:tcBorders>
              <w:bottom w:val="single" w:sz="8" w:color="000000"/>
            </w:tcBorders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/>
                <w:sz w:val="22"/>
              </w:rPr>
              <w:t>Veredito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texto (notícia + CVM + embedding)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0,624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0,570 a 0,680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passa — há sinal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histórico de preço (o HAR)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0,794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0,745 a 0,840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passa, e é forte</w:t>
            </w:r>
          </w:p>
        </w:tc>
      </w:tr>
      <w:tr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direção, qualquer braço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0,49 a 0,52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cruza o 0,50</w:t>
            </w:r>
          </w:p>
        </w:tc>
        <w:tc>
          <w:tcPr>
            <w:tcW w:type="dxa" w:w="2351"/>
          </w:tcPr>
          <w:p>
            <w:pPr>
              <w:spacing w:line="240" w:lineRule="auto" w:after="0"/>
            </w:pPr>
            <w:r>
              <w:rPr>
                <w:rFonts w:ascii="Times New Roman" w:hAnsi="Times New Roman"/>
                <w:b w:val="0"/>
                <w:sz w:val="22"/>
              </w:rPr>
              <w:t>não passa</w:t>
            </w:r>
          </w:p>
        </w:tc>
      </w:tr>
    </w:tbl>
    <w:p>
      <w:pPr>
        <w:spacing w:line="240" w:lineRule="auto" w:before="40" w:after="120"/>
        <w:jc w:val="center"/>
      </w:pPr>
      <w:r>
        <w:rPr>
          <w:rFonts w:ascii="Times New Roman" w:hAnsi="Times New Roman"/>
          <w:i w:val="0"/>
          <w:sz w:val="20"/>
        </w:rPr>
        <w:t>Fonte: Elaborado pelo autor (2026).</w:t>
      </w:r>
    </w:p>
    <w:p/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AUC de 0,624 do texto é um resultado legítimo</w:t>
      </w:r>
      <w:r>
        <w:rPr>
          <w:rFonts w:ascii="Times New Roman" w:hAnsi="Times New Roman"/>
          <w:sz w:val="24"/>
        </w:rPr>
        <w:t>, ainda que longe de 0,7. E a de 0,794 do mercado é alta não por mérito do modelo, mas porque prever que amanhã será agitado depois de uma semana agitada é fácil.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9 UM ROTEIRO PARA LER QUALQUER TABELA DESTA PESQUISA</w:t>
      </w:r>
    </w:p>
    <w:p>
      <w:pPr>
        <w:spacing w:line="360" w:lineRule="auto" w:after="120"/>
        <w:ind w:firstLine="709"/>
        <w:jc w:val="both"/>
      </w:pPr>
      <w:r>
        <w:rPr>
          <w:rFonts w:ascii="Times New Roman" w:hAnsi="Times New Roman"/>
          <w:sz w:val="24"/>
        </w:rPr>
        <w:t>Na ordem, e sem pular etapas: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Qual é a linha de base?</w:t>
      </w:r>
      <w:r>
        <w:rPr>
          <w:rFonts w:ascii="Times New Roman" w:hAnsi="Times New Roman"/>
          <w:sz w:val="24"/>
        </w:rPr>
        <w:t xml:space="preserve"> Classe majoritária para direção; HAR para volatilidade; a taxa da base para eventos raros.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Qual a distância até ela, em pontos?</w:t>
      </w:r>
      <w:r>
        <w:rPr>
          <w:rFonts w:ascii="Times New Roman" w:hAnsi="Times New Roman"/>
          <w:sz w:val="24"/>
        </w:rPr>
        <w:t xml:space="preserve"> Não a acurácia absoluta — a distância.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Essa distância cabe dentro do erro-padrão?</w:t>
      </w:r>
      <w:r>
        <w:rPr>
          <w:rFonts w:ascii="Times New Roman" w:hAnsi="Times New Roman"/>
          <w:sz w:val="24"/>
        </w:rPr>
        <w:t xml:space="preserve"> Com 653 pregões, o erro-padrão de uma proporção é ~1,95 ponto. Vantagem de 1,2 ponto não é vantagem.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A AUC concorda com a acurácia?</w:t>
      </w:r>
      <w:r>
        <w:rPr>
          <w:rFonts w:ascii="Times New Roman" w:hAnsi="Times New Roman"/>
          <w:sz w:val="24"/>
        </w:rPr>
        <w:t xml:space="preserve"> Se discordarem, acredite na AUC.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O teste certo passou?</w:t>
      </w:r>
      <w:r>
        <w:rPr>
          <w:rFonts w:ascii="Times New Roman" w:hAnsi="Times New Roman"/>
          <w:sz w:val="24"/>
        </w:rPr>
        <w:t xml:space="preserve"> Binomial para “supera o acaso”; </w:t>
      </w:r>
      <w:r>
        <w:rPr>
          <w:rFonts w:ascii="Times New Roman" w:hAnsi="Times New Roman"/>
          <w:b/>
          <w:sz w:val="24"/>
        </w:rPr>
        <w:t>McNemar para “esta fonte acrescenta”</w:t>
      </w:r>
      <w:r>
        <w:rPr>
          <w:rFonts w:ascii="Times New Roman" w:hAnsi="Times New Roman"/>
          <w:sz w:val="24"/>
        </w:rPr>
        <w:t>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b/>
          <w:sz w:val="24"/>
        </w:rPr>
        <w:t>Quantas hipóteses foram testadas antes desta?</w:t>
      </w:r>
      <w:r>
        <w:rPr>
          <w:rFonts w:ascii="Times New Roman" w:hAnsi="Times New Roman"/>
          <w:sz w:val="24"/>
        </w:rPr>
        <w:t xml:space="preserve"> Se foram muitas, desconfie da que deu certo.</w:t>
      </w:r>
    </w:p>
    <w:p>
      <w:pPr>
        <w:keepNext/>
        <w:spacing w:before="360" w:after="120"/>
      </w:pPr>
      <w:r>
        <w:rPr>
          <w:rFonts w:ascii="Times New Roman" w:hAnsi="Times New Roman"/>
          <w:b/>
          <w:sz w:val="24"/>
        </w:rPr>
        <w:t>10 AS TRÊS FRASES PARA LEVAR À MENTORIA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“Acurácia responde quantos acertei; AUC responde se eu sei distinguir um caso do outro. Quando as duas discordam, a AUC é a que diz a verdade sobre haver informação ali.”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“Nenhum número isolado significa nada. O que significa é a distância até a linha de base certa, e se essa distância passa num teste.”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“Em direção de ação, acurácia perto de 1 é sinal de bug. A meta realista é 55 a 58 por cento, e passar no McNemar.”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