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Comunicados da CVM, notícias e mercado</w:t>
      </w:r>
    </w:p>
    <w:p>
      <w:pPr>
        <w:spacing w:after="80" w:before="0" w:line="276"/>
      </w:pPr>
      <w:r>
        <w:rPr>
          <w:color w:val="595959"/>
          <w:sz w:val="24"/>
          <w:szCs w:val="24"/>
        </w:rPr>
        <w:t xml:space="preserve">Resumo dos resultados: o que move o preço e o que ainda não conseguimos prever</w:t>
      </w:r>
    </w:p>
    <w:p>
      <w:pPr>
        <w:spacing w:after="200" w:before="0" w:line="276"/>
      </w:pPr>
      <w:r>
        <w:rPr>
          <w:color w:val="595959"/>
          <w:sz w:val="17"/>
          <w:szCs w:val="17"/>
        </w:rPr>
        <w:t xml:space="preserve">Vanderlei Barbosa da Silva · PPGIa/PUCPR · Para os Profs. Julio Nievola e Emerson Paraiso · 21 de setembro de 2026</w:t>
      </w:r>
    </w:p>
    <w:p>
      <w:pPr>
        <w:pStyle w:val="Heading1"/>
        <w:keepNext/>
        <w:pBdr>
          <w:bottom w:val="single" w:color="1F386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Em quatro linhas</w:t>
      </w:r>
    </w:p>
    <w:p>
      <w:pPr>
        <w:pStyle w:val="ListParagraph"/>
        <w:numPr>
          <w:ilvl w:val="0"/>
          <w:numId w:val="2"/>
        </w:numPr>
        <w:pBdr>
          <w:left w:val="single" w:color="1F3864" w:sz="24" w:space="6"/>
        </w:pBdr>
        <w:shd w:fill="EEF3FA" w:color="auto" w:val="clear"/>
        <w:spacing w:after="60" w:before="0" w:line="276"/>
      </w:pPr>
      <w:r>
        <w:rPr>
          <w:b/>
          <w:bCs/>
          <w:sz w:val="21"/>
          <w:szCs w:val="21"/>
        </w:rPr>
        <w:t xml:space="preserve">O comunicado da CVM move o tamanho do movimento, não a direção.</w:t>
      </w:r>
      <w:r>
        <w:rPr>
          <w:sz w:val="21"/>
          <w:szCs w:val="21"/>
        </w:rPr>
        <w:t xml:space="preserve"> O Fato Relevante eleva a volatilidade em </w:t>
      </w:r>
      <w:r>
        <w:rPr>
          <w:b/>
          <w:bCs/>
          <w:sz w:val="21"/>
          <w:szCs w:val="21"/>
        </w:rPr>
        <w:t xml:space="preserve">18,2%</w:t>
      </w:r>
      <w:r>
        <w:rPr>
          <w:sz w:val="21"/>
          <w:szCs w:val="21"/>
        </w:rPr>
        <w:t xml:space="preserve"> e o volume em </w:t>
      </w:r>
      <w:r>
        <w:rPr>
          <w:b/>
          <w:bCs/>
          <w:sz w:val="21"/>
          <w:szCs w:val="21"/>
        </w:rPr>
        <w:t xml:space="preserve">36,4%</w:t>
      </w:r>
      <w:r>
        <w:rPr>
          <w:sz w:val="21"/>
          <w:szCs w:val="21"/>
        </w:rPr>
        <w:t xml:space="preserve"> no pregão seguinte, contra pregões sem comunicado (56 papéis, 11.161 eventos).</w:t>
      </w:r>
    </w:p>
    <w:p>
      <w:pPr>
        <w:pStyle w:val="ListParagraph"/>
        <w:numPr>
          <w:ilvl w:val="0"/>
          <w:numId w:val="2"/>
        </w:numPr>
        <w:pBdr>
          <w:left w:val="single" w:color="1F3864" w:sz="24" w:space="6"/>
        </w:pBdr>
        <w:shd w:fill="EEF3FA" w:color="auto" w:val="clear"/>
        <w:spacing w:after="60" w:before="0" w:line="276"/>
      </w:pPr>
      <w:r>
        <w:rPr>
          <w:b/>
          <w:bCs/>
          <w:sz w:val="21"/>
          <w:szCs w:val="21"/>
        </w:rPr>
        <w:t xml:space="preserve">Como previsão, o texto pouco acrescenta.</w:t>
      </w:r>
      <w:r>
        <w:rPr>
          <w:sz w:val="21"/>
          <w:szCs w:val="21"/>
        </w:rPr>
        <w:t xml:space="preserve"> Na volatilidade da PETR4, notícia e CVM somam no máximo 0,6 ponto sobre um modelo de preços que já ganha 6,9% sozinho.</w:t>
      </w:r>
    </w:p>
    <w:p>
      <w:pPr>
        <w:pStyle w:val="ListParagraph"/>
        <w:numPr>
          <w:ilvl w:val="0"/>
          <w:numId w:val="2"/>
        </w:numPr>
        <w:pBdr>
          <w:left w:val="single" w:color="1F3864" w:sz="24" w:space="6"/>
        </w:pBdr>
        <w:shd w:fill="EEF3FA" w:color="auto" w:val="clear"/>
        <w:spacing w:after="60" w:before="0" w:line="276"/>
      </w:pPr>
      <w:r>
        <w:rPr>
          <w:b/>
          <w:bCs/>
          <w:sz w:val="21"/>
          <w:szCs w:val="21"/>
        </w:rPr>
        <w:t xml:space="preserve">A direção continua imprevisível.</w:t>
      </w:r>
      <w:r>
        <w:rPr>
          <w:sz w:val="21"/>
          <w:szCs w:val="21"/>
        </w:rPr>
        <w:t xml:space="preserve"> Nenhuma fonte, sozinha ou combinada, supera o palpite fixo da classe majoritária.</w:t>
      </w:r>
    </w:p>
    <w:p>
      <w:pPr>
        <w:pStyle w:val="ListParagraph"/>
        <w:numPr>
          <w:ilvl w:val="0"/>
          <w:numId w:val="2"/>
        </w:numPr>
        <w:pBdr>
          <w:left w:val="single" w:color="1F3864" w:sz="24" w:space="6"/>
        </w:pBdr>
        <w:shd w:fill="EEF3FA" w:color="auto" w:val="clear"/>
        <w:spacing w:after="60" w:before="0" w:line="276"/>
      </w:pPr>
      <w:r>
        <w:rPr>
          <w:b/>
          <w:bCs/>
          <w:sz w:val="21"/>
          <w:szCs w:val="21"/>
        </w:rPr>
        <w:t xml:space="preserve">O volume foi medido, mas não projetado.</w:t>
      </w:r>
      <w:r>
        <w:rPr>
          <w:sz w:val="21"/>
          <w:szCs w:val="21"/>
        </w:rPr>
        <w:t xml:space="preserve"> Só a volatilidade, o dia excepcional e a direção foram projetados.</w:t>
      </w:r>
    </w:p>
    <w:p>
      <w:pPr>
        <w:pStyle w:val="Heading1"/>
        <w:keepNext/>
        <w:pBdr>
          <w:bottom w:val="single" w:color="1F386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Como foi medido</w:t>
      </w:r>
    </w:p>
    <w:p>
      <w:pPr>
        <w:spacing w:after="100" w:before="0" w:line="276"/>
      </w:pPr>
      <w:r>
        <w:rPr>
          <w:sz w:val="21"/>
          <w:szCs w:val="21"/>
        </w:rPr>
        <w:t xml:space="preserve">Só entram comunicados entregues </w:t>
      </w:r>
      <w:r>
        <w:rPr>
          <w:b/>
          <w:bCs/>
          <w:sz w:val="21"/>
          <w:szCs w:val="21"/>
        </w:rPr>
        <w:t xml:space="preserve">após o fechamento</w:t>
      </w:r>
      <w:r>
        <w:rPr>
          <w:sz w:val="21"/>
          <w:szCs w:val="21"/>
        </w:rPr>
        <w:t xml:space="preserve"> (a partir das 17h, pela hora oficial de entrega recuperada da CVM). Observa-se o </w:t>
      </w:r>
      <w:r>
        <w:rPr>
          <w:b/>
          <w:bCs/>
          <w:sz w:val="21"/>
          <w:szCs w:val="21"/>
        </w:rPr>
        <w:t xml:space="preserve">pregão seguinte</w:t>
      </w:r>
      <w:r>
        <w:rPr>
          <w:sz w:val="21"/>
          <w:szCs w:val="21"/>
        </w:rPr>
        <w:t xml:space="preserve"> e divide-se a volatilidade (medida de Parkinson, que usa máxima e mínima do dia) e o volume pela </w:t>
      </w:r>
      <w:r>
        <w:rPr>
          <w:b/>
          <w:bCs/>
          <w:sz w:val="21"/>
          <w:szCs w:val="21"/>
        </w:rPr>
        <w:t xml:space="preserve">média dos 5 pregões anteriores do mesmo papel</w:t>
      </w:r>
      <w:r>
        <w:rPr>
          <w:sz w:val="21"/>
          <w:szCs w:val="21"/>
        </w:rPr>
        <w:t xml:space="preserve">: 1,00 significa um dia igual ao habitual.</w:t>
      </w:r>
    </w:p>
    <w:p>
      <w:pPr>
        <w:spacing w:after="100" w:before="0" w:line="276"/>
      </w:pPr>
      <w:r>
        <w:rPr>
          <w:sz w:val="21"/>
          <w:szCs w:val="21"/>
        </w:rPr>
        <w:t xml:space="preserve">O termo de comparação são pregões do mesmo papel </w:t>
      </w:r>
      <w:r>
        <w:rPr>
          <w:b/>
          <w:bCs/>
          <w:sz w:val="21"/>
          <w:szCs w:val="21"/>
        </w:rPr>
        <w:t xml:space="preserve">sem nenhum comunicado</w:t>
      </w:r>
      <w:r>
        <w:rPr>
          <w:sz w:val="21"/>
          <w:szCs w:val="21"/>
        </w:rPr>
        <w:t xml:space="preserve"> (cerca de 105 mil), e não 1,00. Mesmo sem evento a razão média fica acima de 1, porque um dia pode ser várias vezes mais agitado que a média, mas nunca menos que zero.</w:t>
      </w:r>
    </w:p>
    <w:p>
      <w:pPr>
        <w:pStyle w:val="Heading1"/>
        <w:keepNext/>
        <w:pBdr>
          <w:bottom w:val="single" w:color="1F386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Medição: o comunicado move volatilidade e volume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2669"/>
        <w:gridCol w:w="2669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Tipo de comunicado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Eventos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Volatilidade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Volume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Fato Relevante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3.292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+18,2%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IC 95%: +13,8 a +21,9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+36,4%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IC 95%: +30,5 a +41,7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Comunicado ao Mercado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7.869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+6,9%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IC 95%: +2,4 a +9,9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+12,2%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IC 95%: +7,3 a +16,0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Os dois juntos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11.161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+9,6%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+16,5%</w:t>
            </w:r>
          </w:p>
        </w:tc>
      </w:tr>
    </w:tbl>
    <w:p>
      <w:pPr>
        <w:spacing w:after="160" w:before="60" w:line="276"/>
      </w:pPr>
      <w:r>
        <w:rPr>
          <w:i/>
          <w:iCs/>
          <w:color w:val="595959"/>
          <w:sz w:val="16"/>
          <w:szCs w:val="16"/>
        </w:rPr>
        <w:t xml:space="preserve">Fonte: 56 papéis da B3, jan/2018 a ago/2026; excesso sobre pregões sem comunicado. IC 95% por reamostragem de dias (bootstrap em blocos de dia, que respeita vários papéis reagindo no mesmo dia), recalculado em 21/09/2026. O total é medido por pregão com comunicado (9.192 pregões-papel; vários comunicados no mesmo dia contam uma vez). Contando cada evento, seria +10,2% e +19,3%.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ler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Contra pregões sem comunicado, o Fato Relevante dá p &lt; 10</w:t>
      </w:r>
      <w:r>
        <w:rPr>
          <w:sz w:val="21"/>
          <w:szCs w:val="21"/>
          <w:vertAlign w:val="superscript"/>
        </w:rPr>
        <w:t xml:space="preserve">-50</w:t>
      </w:r>
      <w:r>
        <w:rPr>
          <w:sz w:val="21"/>
          <w:szCs w:val="21"/>
        </w:rPr>
        <w:t xml:space="preserve"> nas duas medidas: não é acaso.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O excesso do Fato Relevante é </w:t>
      </w:r>
      <w:r>
        <w:rPr>
          <w:b/>
          <w:bCs/>
          <w:sz w:val="21"/>
          <w:szCs w:val="21"/>
        </w:rPr>
        <w:t xml:space="preserve">2,65 vezes</w:t>
      </w:r>
      <w:r>
        <w:rPr>
          <w:sz w:val="21"/>
          <w:szCs w:val="21"/>
        </w:rPr>
        <w:t xml:space="preserve"> o do Comunicado ao Mercado na volatilidade e </w:t>
      </w:r>
      <w:r>
        <w:rPr>
          <w:b/>
          <w:bCs/>
          <w:sz w:val="21"/>
          <w:szCs w:val="21"/>
        </w:rPr>
        <w:t xml:space="preserve">3,0 vezes</w:t>
      </w:r>
      <w:r>
        <w:rPr>
          <w:sz w:val="21"/>
          <w:szCs w:val="21"/>
        </w:rPr>
        <w:t xml:space="preserve"> no volume (p = 7×10</w:t>
      </w:r>
      <w:r>
        <w:rPr>
          <w:sz w:val="21"/>
          <w:szCs w:val="21"/>
          <w:vertAlign w:val="superscript"/>
        </w:rPr>
        <w:t xml:space="preserve">-18</w:t>
      </w:r>
      <w:r>
        <w:rPr>
          <w:sz w:val="21"/>
          <w:szCs w:val="21"/>
        </w:rPr>
        <w:t xml:space="preserve"> e 5×10</w:t>
      </w:r>
      <w:r>
        <w:rPr>
          <w:sz w:val="21"/>
          <w:szCs w:val="21"/>
          <w:vertAlign w:val="superscript"/>
        </w:rPr>
        <w:t xml:space="preserve">-26</w:t>
      </w:r>
      <w:r>
        <w:rPr>
          <w:sz w:val="21"/>
          <w:szCs w:val="21"/>
        </w:rPr>
        <w:t xml:space="preserve">). A hierarquia da lei aparece no preço.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O total (+9,6%) fica perto do Comunicado ao Mercado porque ele responde por 70% dos eventos.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O efeito não é só de casos extremos, mas os casos grandes puxam a média: a </w:t>
      </w:r>
      <w:r>
        <w:rPr>
          <w:b/>
          <w:bCs/>
          <w:sz w:val="21"/>
          <w:szCs w:val="21"/>
        </w:rPr>
        <w:t xml:space="preserve">mediana</w:t>
      </w:r>
      <w:r>
        <w:rPr>
          <w:sz w:val="21"/>
          <w:szCs w:val="21"/>
        </w:rPr>
        <w:t xml:space="preserve"> do Fato Relevante sobe +13,5% na volatilidade e +20,0% no volume, contra +18,2% e +36,4% na média.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sz w:val="21"/>
          <w:szCs w:val="21"/>
        </w:rPr>
        <w:t xml:space="preserve">Direção: nenhum efeito.</w:t>
      </w:r>
      <w:r>
        <w:rPr>
          <w:sz w:val="21"/>
          <w:szCs w:val="21"/>
        </w:rPr>
        <w:t xml:space="preserve"> A variação média do pregão inteiro é igual com e sem comunicado (p = 0,74).</w:t>
      </w:r>
    </w:p>
    <w:p>
      <w:pPr>
        <w:pStyle w:val="Heading1"/>
        <w:keepNext/>
        <w:pBdr>
          <w:bottom w:val="single" w:color="1F386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Medição só na PETR4: jornal, CVM e combinação</w:t>
      </w:r>
    </w:p>
    <w:p>
      <w:pPr>
        <w:keepNext/>
        <w:spacing w:after="100" w:before="0" w:line="276"/>
      </w:pPr>
      <w:r>
        <w:rPr>
          <w:sz w:val="21"/>
          <w:szCs w:val="21"/>
        </w:rPr>
        <w:t xml:space="preserve">Mesma régua, agora para a PETR4 (2.309 pregões), contra </w:t>
      </w:r>
      <w:r>
        <w:rPr>
          <w:b/>
          <w:bCs/>
          <w:sz w:val="21"/>
          <w:szCs w:val="21"/>
        </w:rPr>
        <w:t xml:space="preserve">618 noites em que não houve nada</w:t>
      </w:r>
      <w:r>
        <w:rPr>
          <w:sz w:val="21"/>
          <w:szCs w:val="21"/>
        </w:rPr>
        <w:t xml:space="preserve"> (nem notícia acima do normal, nem comunicado). “Muita notícia” significa mais de 50 textos de portal na noite.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9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Tipo de noite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Noites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Volatilidade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Tamanho da variação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Volume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Muita notícia de jornal (sem CVM)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−3,5%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n.s. (p = 0,11)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−0,6%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n.s. (p = 0,95)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−5,0%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p = 0,004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Comunicado ao Mercado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828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−0,5%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n.s. (p = 0,97)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−1,3%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n.s. (p = 0,79)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−1,1%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p = 0,042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Fato Relevante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+6,4%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n.s. (p = 0,24)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+18,9%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p = 0,040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+11,9%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n.s. (p = 0,81)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Fato Relevante + muita notícia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+13,2%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p = 0,043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+38,2%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p = 0,0002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+19,4%</w:t>
            </w:r>
          </w:p>
          <w:p>
            <w:pPr>
              <w:keepNext/>
              <w:spacing w:after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n.s. (p = 0,14)</w:t>
            </w:r>
          </w:p>
        </w:tc>
      </w:tr>
    </w:tbl>
    <w:p>
      <w:pPr>
        <w:spacing w:after="160" w:before="60" w:line="276"/>
      </w:pPr>
      <w:r>
        <w:rPr>
          <w:i/>
          <w:iCs/>
          <w:color w:val="595959"/>
          <w:sz w:val="16"/>
          <w:szCs w:val="16"/>
        </w:rPr>
        <w:t xml:space="preserve">n.s. = não significativo. “Tamanho da variação” é o valor absoluto do retorno do dia. Foram 12 comparações (limite de p = 0,004 pela correção de Bonferroni): o +38,2% passa com folga e a queda de 5,0% do volume passa por pouco. As demais não passam.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sz w:val="21"/>
          <w:szCs w:val="21"/>
        </w:rPr>
        <w:t xml:space="preserve">Nem o jornal sozinho nem o Comunicado ao Mercado movem o preço.</w:t>
      </w:r>
      <w:r>
        <w:rPr>
          <w:sz w:val="21"/>
          <w:szCs w:val="21"/>
        </w:rPr>
        <w:t xml:space="preserve"> O Fato Relevante com muita notícia move o tamanho da variação em +38%.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sz w:val="21"/>
          <w:szCs w:val="21"/>
        </w:rPr>
        <w:t xml:space="preserve">Ressalva:</w:t>
      </w:r>
      <w:r>
        <w:rPr>
          <w:sz w:val="21"/>
          <w:szCs w:val="21"/>
        </w:rPr>
        <w:t xml:space="preserve"> é um único papel e 225 noites. Falta replicar em VALE3, ITUB4 e BBAS3, com bootstrap e teste-placebo. Na PETR4 sozinha o volume não sobe de forma significativa.</w:t>
      </w:r>
    </w:p>
    <w:p>
      <w:pPr>
        <w:pStyle w:val="Heading1"/>
        <w:keepNext/>
        <w:pBdr>
          <w:bottom w:val="single" w:color="1F386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Projeção</w:t>
      </w:r>
    </w:p>
    <w:p>
      <w:pPr>
        <w:keepNext/>
        <w:spacing w:after="100" w:before="0" w:line="276"/>
      </w:pPr>
      <w:r>
        <w:rPr>
          <w:sz w:val="21"/>
          <w:szCs w:val="21"/>
        </w:rPr>
        <w:t xml:space="preserve">Foram projetados três alvos: </w:t>
      </w:r>
      <w:r>
        <w:rPr>
          <w:b/>
          <w:bCs/>
          <w:sz w:val="21"/>
          <w:szCs w:val="21"/>
        </w:rPr>
        <w:t xml:space="preserve">volatilidade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dia excepcional</w:t>
      </w:r>
      <w:r>
        <w:rPr>
          <w:sz w:val="21"/>
          <w:szCs w:val="21"/>
        </w:rPr>
        <w:t xml:space="preserve"> e </w:t>
      </w:r>
      <w:r>
        <w:rPr>
          <w:b/>
          <w:bCs/>
          <w:sz w:val="21"/>
          <w:szCs w:val="21"/>
        </w:rPr>
        <w:t xml:space="preserve">direção</w:t>
      </w:r>
      <w:r>
        <w:rPr>
          <w:sz w:val="21"/>
          <w:szCs w:val="21"/>
        </w:rPr>
        <w:t xml:space="preserve">. O volume não foi projetado.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Volatilidade da PETR4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8"/>
        <w:gridCol w:w="2900"/>
        <w:gridCol w:w="2300"/>
      </w:tblGrid>
      <w:tr>
        <w:trPr>
          <w:cantSplit/>
          <w:tblHeader/>
        </w:trPr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 que o modelo enxerga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Ganho sobre o HAR simples (R²-OS)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Erro médio (MAE)</w:t>
            </w:r>
          </w:p>
        </w:tc>
      </w:tr>
      <w:tr>
        <w:trPr>
          <w:cantSplit/>
        </w:trPr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A. Só preços (sem notícia e sem CVM)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+6,90%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0,0520</w:t>
            </w:r>
          </w:p>
        </w:tc>
      </w:tr>
      <w:tr>
        <w:trPr>
          <w:cantSplit/>
        </w:trPr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B. Preços + notícia (sem CVM)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+7,53%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0,0526</w:t>
            </w:r>
          </w:p>
        </w:tc>
      </w:tr>
      <w:tr>
        <w:trPr>
          <w:cantSplit/>
        </w:trPr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C. Preços + CVM (sem notícia)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+6,91%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0,0526</w:t>
            </w:r>
          </w:p>
        </w:tc>
      </w:tr>
      <w:tr>
        <w:trPr>
          <w:cantSplit/>
        </w:trPr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D. Preços + notícia + CVM (a combinação)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+7,47%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0,0529</w:t>
            </w:r>
          </w:p>
        </w:tc>
      </w:tr>
    </w:tbl>
    <w:p>
      <w:pPr>
        <w:spacing w:after="160" w:before="60" w:line="276"/>
      </w:pPr>
      <w:r>
        <w:rPr>
          <w:i/>
          <w:iCs/>
          <w:color w:val="595959"/>
          <w:sz w:val="16"/>
          <w:szCs w:val="16"/>
        </w:rPr>
        <w:t xml:space="preserve">Protocolo do Cap. 3, 647 pregões de teste que o modelo não viu. R²-OS: quanto o erro da previsão diminui em relação ao HAR simples, que prevê a volatilidade de amanhã com a média dos últimos 1, 5 e 22 dias. Meta: acima de +5%.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O ganho de cerca de 7% </w:t>
      </w:r>
      <w:r>
        <w:rPr>
          <w:b/>
          <w:bCs/>
          <w:sz w:val="21"/>
          <w:szCs w:val="21"/>
        </w:rPr>
        <w:t xml:space="preserve">já existe sem texto</w:t>
      </w:r>
      <w:r>
        <w:rPr>
          <w:sz w:val="21"/>
          <w:szCs w:val="21"/>
        </w:rPr>
        <w:t xml:space="preserve"> (linha A): vem do método de combinar modelos, não da notícia.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A notícia acrescenta 0,63 ponto, a CVM sozinha 0,01 e as duas 0,57. Diferenças dessa ordem tratamos como empate; o arquivo de resultados não traz teste de significância para elas.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O erro médio (MAE) até </w:t>
      </w:r>
      <w:r>
        <w:rPr>
          <w:b/>
          <w:bCs/>
          <w:sz w:val="21"/>
          <w:szCs w:val="21"/>
        </w:rPr>
        <w:t xml:space="preserve">piora</w:t>
      </w:r>
      <w:r>
        <w:rPr>
          <w:sz w:val="21"/>
          <w:szCs w:val="21"/>
        </w:rPr>
        <w:t xml:space="preserve"> um pouco quando entra texto.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 Dia excepcional (os 10% mais agitados)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 que o modelo enxerga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AUC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Só mercado (sem texto)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0,794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Só notícia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0,609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Só CVM (rótulos)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0,573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Notícia + CVM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0,624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Mercado + texto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0,786</w:t>
            </w:r>
          </w:p>
        </w:tc>
      </w:tr>
    </w:tbl>
    <w:p>
      <w:pPr>
        <w:spacing w:after="160" w:before="60" w:line="276"/>
      </w:pPr>
      <w:r>
        <w:rPr>
          <w:i/>
          <w:iCs/>
          <w:color w:val="595959"/>
          <w:sz w:val="16"/>
          <w:szCs w:val="16"/>
        </w:rPr>
        <w:t xml:space="preserve">AUC: 0,50 equivale a uma moeda; 1,00 é acerto perfeito. PETR4, 1.566 previsões fora da amostra.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O texto sozinho tem alguma informação (AUC 0,57 a 0,62), mas o mercado tem 0,79. </w:t>
      </w:r>
      <w:r>
        <w:rPr>
          <w:b/>
          <w:bCs/>
          <w:sz w:val="21"/>
          <w:szCs w:val="21"/>
        </w:rPr>
        <w:t xml:space="preserve">Somar texto ao mercado não acrescenta:</w:t>
      </w:r>
      <w:r>
        <w:rPr>
          <w:sz w:val="21"/>
          <w:szCs w:val="21"/>
        </w:rPr>
        <w:t xml:space="preserve"> a diferença de AUC é −0,008 (IC 95%: −0,032 a +0,015), com o zero dentro.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Em descrição simples, sem modelo: em noites de Fato Relevante com muita notícia, </w:t>
      </w:r>
      <w:r>
        <w:rPr>
          <w:b/>
          <w:bCs/>
          <w:sz w:val="21"/>
          <w:szCs w:val="21"/>
        </w:rPr>
        <w:t xml:space="preserve">15,7%</w:t>
      </w:r>
      <w:r>
        <w:rPr>
          <w:sz w:val="21"/>
          <w:szCs w:val="21"/>
        </w:rPr>
        <w:t xml:space="preserve"> dos dias são excepcionais contra 9,4% da base (1,67 vez, p = 0,00015). Nenhum dos dois sinais funciona sozinho.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3.3 Direção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 que o modelo enxerga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SVM: acerto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XGBoost: acerto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SVM: AUC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XGBoost: AUC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Palpite fixo (classe majoritária)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53,14%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53,14%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Só preços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52,07%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49,31%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0,478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0,493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Preços + notícia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52,53%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52,83%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0,503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0,525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Preços + CVM (sem notícia)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52,53%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49,92%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0,507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0,475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Preços + notícia + CVM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54,36%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50,84%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0,489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0,495</w:t>
            </w:r>
          </w:p>
        </w:tc>
      </w:tr>
    </w:tbl>
    <w:p>
      <w:pPr>
        <w:spacing w:after="160" w:before="60" w:line="276"/>
      </w:pPr>
      <w:r>
        <w:rPr>
          <w:i/>
          <w:iCs/>
          <w:color w:val="595959"/>
          <w:sz w:val="16"/>
          <w:szCs w:val="16"/>
        </w:rPr>
        <w:t xml:space="preserve">Protocolo do Cap. 3, 653 pregões de teste. Nenhuma linha se distingue do palpite fixo: o maior acerto (54,36%) está 1,2 ponto acima, e o teste binomial contra 53,14% dá p = 0,56.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O 54,36% do SVM com notícia + CVM tem </w:t>
      </w:r>
      <w:r>
        <w:rPr>
          <w:b/>
          <w:bCs/>
          <w:sz w:val="21"/>
          <w:szCs w:val="21"/>
        </w:rPr>
        <w:t xml:space="preserve">AUC 0,489, abaixo de 0,50</w:t>
      </w:r>
      <w:r>
        <w:rPr>
          <w:sz w:val="21"/>
          <w:szCs w:val="21"/>
        </w:rPr>
        <w:t xml:space="preserve">: acerta por chutar na proporção certa, não por distinguir altas de baixas.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Nas noites de Fato Relevante, jornal + CVM acertou 55,2% contra 51,5% do palpite fixo (+3,7 pontos). O p = 0,04 divulgado antes comparava com 50%; </w:t>
      </w:r>
      <w:r>
        <w:rPr>
          <w:b/>
          <w:bCs/>
          <w:sz w:val="21"/>
          <w:szCs w:val="21"/>
        </w:rPr>
        <w:t xml:space="preserve">contra o palpite fixo é ≈ 0,15</w:t>
      </w:r>
      <w:r>
        <w:rPr>
          <w:sz w:val="21"/>
          <w:szCs w:val="21"/>
        </w:rPr>
        <w:t xml:space="preserve"> (recalculado em 21/09/2026).</w:t>
      </w:r>
    </w:p>
    <w:p>
      <w:pPr>
        <w:pStyle w:val="Heading1"/>
        <w:keepNext/>
        <w:pBdr>
          <w:bottom w:val="single" w:color="1F386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Limites e próximos passos</w:t>
      </w:r>
    </w:p>
    <w:p>
      <w:pPr>
        <w:keepNext/>
        <w:spacing w:after="60" w:before="0" w:line="276"/>
      </w:pPr>
      <w:r>
        <w:rPr>
          <w:b/>
          <w:bCs/>
          <w:sz w:val="21"/>
          <w:szCs w:val="21"/>
        </w:rPr>
        <w:t xml:space="preserve">O que não afirmamos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Que o texto </w:t>
      </w:r>
      <w:r>
        <w:rPr>
          <w:b/>
          <w:bCs/>
          <w:sz w:val="21"/>
          <w:szCs w:val="21"/>
        </w:rPr>
        <w:t xml:space="preserve">preveja</w:t>
      </w:r>
      <w:r>
        <w:rPr>
          <w:sz w:val="21"/>
          <w:szCs w:val="21"/>
        </w:rPr>
        <w:t xml:space="preserve"> o preço: a agitação medida depois do comunicado não melhora a previsão feita só com o histórico de preços.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Que o +38% valha além da PETR4, nem que a notícia o cause: o desenho mede associação.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Nada sobre a previsão do volume.</w:t>
      </w:r>
    </w:p>
    <w:p>
      <w:pPr>
        <w:keepNext/>
        <w:spacing w:after="60" w:before="100" w:line="276"/>
      </w:pPr>
      <w:r>
        <w:rPr>
          <w:b/>
          <w:bCs/>
          <w:sz w:val="21"/>
          <w:szCs w:val="21"/>
        </w:rPr>
        <w:t xml:space="preserve">Próximos passos propostos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Projetar o volume no mesmo protocolo (HAR de volume), com e sem CVM.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Extrair os embeddings das 54.259 notícias no Colab, para pôr jornal e CVM em pé de igualdade no modelo.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Replicar o +38% em VALE3, ITUB4 e BBAS3, com bootstrap e teste-placebo.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Comunicados da CVM, notícias e mercado</w:t>
    </w:r>
    <w:r>
      <w:rPr>
        <w:color w:val="595959"/>
        <w:sz w:val="16"/>
        <w:szCs w:val="16"/>
      </w:rPr>
      <w:tab/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Comunicados da CVM, notícias e mercado — resumo para os orientadores</dc:title>
  <dc:creator>Vanderlei Barbosa da Silva</dc:creator>
  <cp:lastModifiedBy>Un-named</cp:lastModifiedBy>
  <cp:revision>1</cp:revision>
  <dcterms:created xsi:type="dcterms:W3CDTF">2026-09-21T15:57:12.200Z</dcterms:created>
  <dcterms:modified xsi:type="dcterms:W3CDTF">2026-09-21T15:57:12.201Z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