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RELÓGIO DA CVM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Divulgação obrigatória e reação do preço: evidência de 11.161 comunicados com hora oficial de entrega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 ·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Programa de Pós-Graduação em Informática (PPGIa)</w:t>
      </w:r>
    </w:p>
    <w:p>
      <w:pPr>
        <w:jc w:val="center"/>
      </w:pPr>
      <w:r>
        <w:rPr>
          <w:rFonts w:ascii="Times New Roman" w:hAnsi="Times New Roman"/>
          <w:sz w:val="24"/>
        </w:rPr>
        <w:t>Pontifícia Universidade Católica do Paraná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Versão de trabalho para apreciação dos orientadores. A autoria e a ordem de assinatura estão em aberto; registra-se que a medida de volatilidade relativa à semana anterior, empregada na Seção 4.3, foi sugerida pelo Prof. Dr. Emerson Cabrera Paraiso, o que pode justificar sua inclusão como coautor. Elaborado em 19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 xml:space="preserve"> RESUMO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A Resolução CVM nº 44/2021 obriga companhias abertas brasileiras a divulgar todo ato ou fato capaz de influir na cotação de seus valores mobiliários. Verificamos empiricamente se essa presunção legal se sustenta. O conjunto de dados abertos da autarquia registra apenas a data de entrega; recuperamos a </w:t>
      </w:r>
      <w:r>
        <w:rPr>
          <w:rFonts w:ascii="Times New Roman" w:hAnsi="Times New Roman"/>
          <w:b/>
          <w:sz w:val="24"/>
        </w:rPr>
        <w:t>hora oficial de 20.419 documentos</w:t>
      </w:r>
      <w:r>
        <w:rPr>
          <w:rFonts w:ascii="Times New Roman" w:hAnsi="Times New Roman"/>
          <w:sz w:val="24"/>
        </w:rPr>
        <w:t xml:space="preserve">. com precisão de segundos. a partir do Protocolo de Entrega emitido pela própria CVM. Isso permite isolar os comunicados divulgados com o mercado fechado — 64.5% do total — e observar o pregão seguinte. quando a informação pôde ser negociada pela primeira vez. Sobre 11.161 eventos de 56 ações da B3 entre 2018 e 2026. comparados a 105.896 pregões sem divulgação, encontramos aumento de 9.6% na volatilidade e de 16.5% no volume negociado, ambos com significância inequívoca, e </w:t>
      </w:r>
      <w:r>
        <w:rPr>
          <w:rFonts w:ascii="Times New Roman" w:hAnsi="Times New Roman"/>
          <w:b/>
          <w:sz w:val="24"/>
        </w:rPr>
        <w:t>nenhum efeito sobre a direção do retorno</w:t>
      </w:r>
      <w:r>
        <w:rPr>
          <w:rFonts w:ascii="Times New Roman" w:hAnsi="Times New Roman"/>
          <w:sz w:val="24"/>
        </w:rPr>
        <w:t xml:space="preserve">. A distinção legal entre Fato Relevante e Comunicado ao Mercado corresponde a uma diferença empírica de 2.65 vezes na volatilidade. O achado central, porém, é distributivo: </w:t>
      </w:r>
      <w:r>
        <w:rPr>
          <w:rFonts w:ascii="Times New Roman" w:hAnsi="Times New Roman"/>
          <w:b/>
          <w:sz w:val="24"/>
        </w:rPr>
        <w:t>59.0% dos comunicados não produzem movimento algum</w:t>
      </w:r>
      <w:r>
        <w:rPr>
          <w:rFonts w:ascii="Times New Roman" w:hAnsi="Times New Roman"/>
          <w:sz w:val="24"/>
        </w:rPr>
        <w:t>, e o efeito médio decorre de uma minoria de eventos. A presunção legal de relevância é válida em média e falsa na maioria dos casos individuais.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Palavras-chave:</w:t>
      </w:r>
      <w:r>
        <w:rPr>
          <w:rFonts w:ascii="Times New Roman" w:hAnsi="Times New Roman"/>
          <w:sz w:val="24"/>
        </w:rPr>
        <w:t xml:space="preserve"> divulgação obrigatória; fato relevante; estudo de evento; volatilidade; Comissão de Valores Mobiliários.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artigo 2º da Resolução CVM nº 44/2021 define como relevante todo ato ou fato que possa </w:t>
      </w:r>
      <w:r>
        <w:rPr>
          <w:rFonts w:ascii="Times New Roman" w:hAnsi="Times New Roman"/>
          <w:b/>
          <w:sz w:val="24"/>
        </w:rPr>
        <w:t>influir de modo ponderável</w:t>
      </w:r>
      <w:r>
        <w:rPr>
          <w:rFonts w:ascii="Times New Roman" w:hAnsi="Times New Roman"/>
          <w:sz w:val="24"/>
        </w:rPr>
        <w:t xml:space="preserve"> na cotação dos valores mobiliários de uma companhia aberta, na decisão de investidores de comprar, vender ou manter esses papéis, ou no exercício de direitos a eles inerentes. A norma impõe ao Diretor de Relações com Investidores o dever de divulgá-lo, e submete o descumprimento a sanção administrativa.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norma, portanto, incorpora uma </w:t>
      </w:r>
      <w:r>
        <w:rPr>
          <w:rFonts w:ascii="Times New Roman" w:hAnsi="Times New Roman"/>
          <w:b/>
          <w:sz w:val="24"/>
        </w:rPr>
        <w:t>presunção empírica</w:t>
      </w:r>
      <w:r>
        <w:rPr>
          <w:rFonts w:ascii="Times New Roman" w:hAnsi="Times New Roman"/>
          <w:sz w:val="24"/>
        </w:rPr>
        <w:t xml:space="preserve">: o que ela manda divulgar move preço. Essa presunção é raramente examinada. Quando o é, costuma sê-lo sobre amostras pequenas, sem grupo de controle, e — decisivamente — </w:t>
      </w:r>
      <w:r>
        <w:rPr>
          <w:rFonts w:ascii="Times New Roman" w:hAnsi="Times New Roman"/>
          <w:b/>
          <w:sz w:val="24"/>
        </w:rPr>
        <w:t>sem conhecimento da hora em que o documento foi entregue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ausência da hora não é detalhe operacional. Um comunicado divulgado às onze da manhã e um movimento de preço às onze e meia formam uma sequência ambígua: pode a divulgação ter causado o movimento, ou pode a companhia ter se manifestado porque o preço já se movia. Um comunicado divulgado às dezenove horas, com a bolsa fechada, não admite essa ambiguidade. </w:t>
      </w:r>
      <w:r>
        <w:rPr>
          <w:rFonts w:ascii="Times New Roman" w:hAnsi="Times New Roman"/>
          <w:b/>
          <w:sz w:val="24"/>
        </w:rPr>
        <w:t>A ordem temporal é inequívoca, e a primeira oportunidade de negociação é a abertura do pregão seguinte.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 conjunto de dados abertos mantido pela CVM — a série IPE, de Informações Periódicas e Eventuais — registra a data de entrega, e apenas a data. O dicionário oficial do conjunto confirma: o campo `Data_Entrega` é descrito como *data de entrega/recebimento do documento*, sem qualquer componente horário.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contribuição metodológica deste trabalho começa aí.</w:t>
      </w:r>
      <w:r>
        <w:rPr>
          <w:rFonts w:ascii="Times New Roman" w:hAnsi="Times New Roman"/>
          <w:sz w:val="24"/>
        </w:rPr>
        <w:t xml:space="preserve"> A hora existe. com precisão de segundos. no Protocolo de Entrega — o recibo que a autarquia emite para cada documento protocolado e disponibiliza publicamente. Recuperamos esse recibo para 20.419 dos 20.421 documentos de interesse, em cobertura praticamente integral.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 trabalho responde a quatro perguntas: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Quando as companhias divulgam?</w:t>
      </w:r>
      <w:r>
        <w:rPr>
          <w:rFonts w:ascii="Times New Roman" w:hAnsi="Times New Roman"/>
          <w:sz w:val="24"/>
        </w:rPr>
        <w:t xml:space="preserve"> A norma recomenda que a divulgação ocorra fora do horário de negociação; verificamos em que medida isso é observado.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carimbo de hora é informativo?</w:t>
      </w:r>
      <w:r>
        <w:rPr>
          <w:rFonts w:ascii="Times New Roman" w:hAnsi="Times New Roman"/>
          <w:sz w:val="24"/>
        </w:rPr>
        <w:t xml:space="preserve"> Se o for, a reação deve concentrar-se no mesmo pregão quando a divulgação é matinal, e no pregão seguinte quando é noturna.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divulgação move o preço?</w:t>
      </w:r>
      <w:r>
        <w:rPr>
          <w:rFonts w:ascii="Times New Roman" w:hAnsi="Times New Roman"/>
          <w:sz w:val="24"/>
        </w:rPr>
        <w:t xml:space="preserve"> Separadamente em volatilidade, volume e direção, contra grupo de controle.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distinção legal entre as categorias tem correspondência empírica?</w:t>
      </w:r>
      <w:r>
        <w:rPr>
          <w:rFonts w:ascii="Times New Roman" w:hAnsi="Times New Roman"/>
          <w:sz w:val="24"/>
        </w:rPr>
        <w:t xml:space="preserve"> O que a norma trata como mais relevante move mais?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REFERENCIAL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A obrigação de divulgar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Resolução CVM nº 44, em vigor desde setembro de 2021 e sucessora da Instrução CVM nº 358/2002, organiza a divulgação em categorias. Duas interessam a este trabalho. O </w:t>
      </w:r>
      <w:r>
        <w:rPr>
          <w:rFonts w:ascii="Times New Roman" w:hAnsi="Times New Roman"/>
          <w:b/>
          <w:sz w:val="24"/>
        </w:rPr>
        <w:t>Fato Relevante</w:t>
      </w:r>
      <w:r>
        <w:rPr>
          <w:rFonts w:ascii="Times New Roman" w:hAnsi="Times New Roman"/>
          <w:sz w:val="24"/>
        </w:rPr>
        <w:t xml:space="preserve"> é a categoria de maior peso, reservada ao que a companhia julga capaz de influir na cotação. O </w:t>
      </w:r>
      <w:r>
        <w:rPr>
          <w:rFonts w:ascii="Times New Roman" w:hAnsi="Times New Roman"/>
          <w:b/>
          <w:sz w:val="24"/>
        </w:rPr>
        <w:t>Comunicado ao Mercado</w:t>
      </w:r>
      <w:r>
        <w:rPr>
          <w:rFonts w:ascii="Times New Roman" w:hAnsi="Times New Roman"/>
          <w:sz w:val="24"/>
        </w:rPr>
        <w:t xml:space="preserve"> abriga informação que a companhia entende dever levar ao conhecimento do público sem atingir aquele patamar.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enquadramento é feito pela própria companhia</w:t>
      </w:r>
      <w:r>
        <w:rPr>
          <w:rFonts w:ascii="Times New Roman" w:hAnsi="Times New Roman"/>
          <w:sz w:val="24"/>
        </w:rPr>
        <w:t xml:space="preserve">, por meio do Diretor de Relações com Investidores, sob obrigação legal e sob fiscalização da autarquia. Trata-se, portanto, de </w:t>
      </w:r>
      <w:r>
        <w:rPr>
          <w:rFonts w:ascii="Times New Roman" w:hAnsi="Times New Roman"/>
          <w:b/>
          <w:sz w:val="24"/>
        </w:rPr>
        <w:t>autodeclaração com consequência jurídica</w:t>
      </w:r>
      <w:r>
        <w:rPr>
          <w:rFonts w:ascii="Times New Roman" w:hAnsi="Times New Roman"/>
          <w:sz w:val="24"/>
        </w:rPr>
        <w:t xml:space="preserve"> — não de classificação independente. A distinção importa para a leitura dos resultados e é retomada na Seção 7.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artigo 5º recomenda que a divulgação ocorra </w:t>
      </w:r>
      <w:r>
        <w:rPr>
          <w:rFonts w:ascii="Times New Roman" w:hAnsi="Times New Roman"/>
          <w:b/>
          <w:sz w:val="24"/>
        </w:rPr>
        <w:t>preferencialmente após o encerramento dos negócios</w:t>
      </w:r>
      <w:r>
        <w:rPr>
          <w:rFonts w:ascii="Times New Roman" w:hAnsi="Times New Roman"/>
          <w:sz w:val="24"/>
        </w:rPr>
        <w:t>, ou antes de seu início. A recomendação existe justamente porque o regulador reconhece o problema de assimetria que a divulgação intradiária cria.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2.2 Estudo de evento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 método empregado é o estudo de evento, cuja formulação moderna remonta a Fama, Fisher, Jensen e Roll (1969) e cujas escolhas de desenho foram sistematizadas por Brown e Warner (1985) e revisadas por MacKinlay (1997). O procedimento estima o comportamento normal do ativo em janela anterior ao evento e mede o desvio observado na janela do evento.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Adotamos duas particularidades. A primeira é a </w:t>
      </w:r>
      <w:r>
        <w:rPr>
          <w:rFonts w:ascii="Times New Roman" w:hAnsi="Times New Roman"/>
          <w:b/>
          <w:sz w:val="24"/>
        </w:rPr>
        <w:t>linha de base recente</w:t>
      </w:r>
      <w:r>
        <w:rPr>
          <w:rFonts w:ascii="Times New Roman" w:hAnsi="Times New Roman"/>
          <w:sz w:val="24"/>
        </w:rPr>
        <w:t xml:space="preserve">: em lugar de janela de estimação distante, comparamos o pregão de reação com a média dos cinco pregões imediatamente anteriores. A justificativa é a persistência da volatilidade, documentada desde Engle (1982) e explorada de forma explícita pelo modelo heterogêneo autorregressivo de Corsi (2009): </w:t>
      </w:r>
      <w:r>
        <w:rPr>
          <w:rFonts w:ascii="Times New Roman" w:hAnsi="Times New Roman"/>
          <w:b/>
          <w:sz w:val="24"/>
        </w:rPr>
        <w:t>bater a média da própria semana anterior é teste mais exigente que bater uma média de cem dias atrás</w:t>
      </w:r>
      <w:r>
        <w:rPr>
          <w:rFonts w:ascii="Times New Roman" w:hAnsi="Times New Roman"/>
          <w:sz w:val="24"/>
        </w:rPr>
        <w:t>, porque a semana anterior já incorpora o regime corrente.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segunda é o </w:t>
      </w:r>
      <w:r>
        <w:rPr>
          <w:rFonts w:ascii="Times New Roman" w:hAnsi="Times New Roman"/>
          <w:b/>
          <w:sz w:val="24"/>
        </w:rPr>
        <w:t>estimador de Parkinson (1980)</w:t>
      </w:r>
      <w:r>
        <w:rPr>
          <w:rFonts w:ascii="Times New Roman" w:hAnsi="Times New Roman"/>
          <w:sz w:val="24"/>
        </w:rPr>
        <w:t>, que mede a variação diária pelo intervalo entre máxima e mínima em vez de pelo fechamento. É substancialmente mais eficiente que o estimador baseado apenas em fechamentos, e capta o dia que oscila fortemente e retorna ao ponto de partida — caso em que o fechamento nada revela.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2.3 O que a literatura recente encontra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literatura sobre texto e preço tem convergido para uma assimetria. Halousková e Lyócsa (2025), em 404 ações do S&amp;P 500, melhoram previsões de volatilidade em 98,76% dos ativos, com ganho maior nos dias de variação extrema. Bodilsen e Lunde (2025) reportam melhora na previsão de volatilidade por analítica de notícias, com ganho crescente no horizonte. Hashami e Maldonado (2025), sobre o petróleo Brent, encontram que a simples </w:t>
      </w:r>
      <w:r>
        <w:rPr>
          <w:rFonts w:ascii="Times New Roman" w:hAnsi="Times New Roman"/>
          <w:b/>
          <w:sz w:val="24"/>
        </w:rPr>
        <w:t>contagem</w:t>
      </w:r>
      <w:r>
        <w:rPr>
          <w:rFonts w:ascii="Times New Roman" w:hAnsi="Times New Roman"/>
          <w:sz w:val="24"/>
        </w:rPr>
        <w:t xml:space="preserve"> de notícias supera todos os métodos de análise de sentimento testados.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Na previsão de direção, os resultados são mais modestos. Nguyen, Shirai e Velcin (2015) relatam ganhos de 2,1 a 9,8 pontos percentuais sobre modelo baseado apenas em preços. Ruan e Jiang (2025) obtêm ganho de 7,9 pontos com arquitetura que combina sentimento e indicadores técnicos. Schumaker e Chen (2009), medindo reação vinte minutos após a publicação, relatam 71,18% de acerto direcional — valor que, convém notar, é o melhor entre seis esquemas de particionamento por eles testados; no particionamento por ação individual, o desempenho cai para 56,92%.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Este trabalho difere dessa literatura em dois pontos.</w:t>
      </w:r>
      <w:r>
        <w:rPr>
          <w:rFonts w:ascii="Times New Roman" w:hAnsi="Times New Roman"/>
          <w:sz w:val="24"/>
        </w:rPr>
        <w:t xml:space="preserve"> Não emprega classificação de sentimento — mede o efeito da divulgação sem ler seu conteúdo. E dispõe da hora oficial de entrega, o que permite o recorte temporal que a literatura citada não pôde fazer.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DADOS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Os comunicados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Os documentos provêm da série IPE do portal de dados abertos da CVM (`dados.cvm.gov.br`), em arquivos anuais. Foram coletados os exercícios de 2018 a 2026, dos quais se retiveram as categorias Fato Relevante e Comunicado ao Mercado. Cada registro traz o CNPJ e o nome da companhia, a categoria, a data de entrega, o campo `Assunto` — uma linha descritiva — e o endereço do documento íntegro.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 A recuperação da hora oficial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Esta subseção descreve a principal contribuição metodológica do trabalho.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Três rotas foram examinadas. A primeira, e descartada, seria inferir a hora dos metadados internos do arquivo PDF. </w:t>
      </w:r>
      <w:r>
        <w:rPr>
          <w:rFonts w:ascii="Times New Roman" w:hAnsi="Times New Roman"/>
          <w:b/>
          <w:sz w:val="24"/>
        </w:rPr>
        <w:t>Foi rejeitada por medir a coisa errada:</w:t>
      </w:r>
      <w:r>
        <w:rPr>
          <w:rFonts w:ascii="Times New Roman" w:hAnsi="Times New Roman"/>
          <w:sz w:val="24"/>
        </w:rPr>
        <w:t xml:space="preserve"> o carimbo `ModDate` registra quando a companhia finalizou o arquivo, não quando a autarquia o recebeu. Em amostra de vinte e cinco documentos, essa aproximação indicava que 40% das divulgações ocorriam com o pregão aberto; o dado oficial mostra 11.6%. </w:t>
      </w:r>
      <w:r>
        <w:rPr>
          <w:rFonts w:ascii="Times New Roman" w:hAnsi="Times New Roman"/>
          <w:b/>
          <w:sz w:val="24"/>
        </w:rPr>
        <w:t>Hora aproximada, num desenho que depende da ordem temporal, é pior que hora nenhuma.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segunda rota é a tela pública de consulta do sistema RAD, que devolve data e hora, mas cujo alcance se limita ao exercício corrente — inútil para série histórica.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terceira, adotada, é o </w:t>
      </w:r>
      <w:r>
        <w:rPr>
          <w:rFonts w:ascii="Times New Roman" w:hAnsi="Times New Roman"/>
          <w:b/>
          <w:sz w:val="24"/>
        </w:rPr>
        <w:t>Protocolo de Entrega</w:t>
      </w:r>
      <w:r>
        <w:rPr>
          <w:rFonts w:ascii="Times New Roman" w:hAnsi="Times New Roman"/>
          <w:sz w:val="24"/>
        </w:rPr>
        <w:t>: o recibo que a CVM emite para cada documento protocolado, acessível por método público do próprio sistema mediante o número sequencial presente no endereço de descarga do conjunto aberto. O recibo declara, em texto: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*Protocolo de Entrega — 9512 - PETRÓLEO BRASILEIRO S.A. - PETROBRAS. O documento foi entregue para CVM e B3. Tipo de Documento: Fato Relevante. Data do Documento: 03/01/2018. </w:t>
      </w:r>
      <w:r>
        <w:rPr>
          <w:rFonts w:ascii="Times New Roman" w:hAnsi="Times New Roman"/>
          <w:b/>
          <w:sz w:val="24"/>
        </w:rPr>
        <w:t>Data da Entrega: 03/01/2018 07:20:19.</w:t>
      </w:r>
      <w:r>
        <w:rPr>
          <w:rFonts w:ascii="Times New Roman" w:hAnsi="Times New Roman"/>
          <w:sz w:val="24"/>
        </w:rPr>
        <w:t xml:space="preserve"> Versão: 1. Protocolo: 009512IPE030120180104310213-17.*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procedimento recuperou 20.419 recibos de 20.421 documentos — cobertura de 99,99%. </w:t>
      </w:r>
      <w:r>
        <w:rPr>
          <w:rFonts w:ascii="Times New Roman" w:hAnsi="Times New Roman"/>
          <w:b/>
          <w:sz w:val="24"/>
        </w:rPr>
        <w:t>A data constante do recibo coincide com a do conjunto aberto em todos os casos</w:t>
      </w:r>
      <w:r>
        <w:rPr>
          <w:rFonts w:ascii="Times New Roman" w:hAnsi="Times New Roman"/>
          <w:sz w:val="24"/>
        </w:rPr>
        <w:t>, o que valida mutuamente as duas fontes.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3.3 Cotações e amostra final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As companhias foram associadas a papéis negociados na B3 por correspondência de razão social. Coletaram-se séries diárias de abertura, máxima, mínima, fechamento e volume, além do Ibovespa. Quatro papéis com histórico indisponível no provedor foram excluídos; duas companhias cuja fusão posterior impediria a atribuição correta da série de preços foram igualmente removidas, por decisão conservadora.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Composição da amostra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Quantidade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documentos da CVM com hora oficial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20.419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divulgados após o encerramento do pregão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64.5%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eventos com preço disponível e janela completa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11.161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dos quais Fatos Relevantes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3.292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dos quais Comunicados ao Mercado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7.869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papéis distintos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período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01/2018 a 08/2026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pregões de controle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105.896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pelos autores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MÉTODO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O recorte temporal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Retêm-se apenas os documentos entregues às 17 horas ou depois. O pregão de reação é o primeiro pregão subsequente à entrega. Quando a entrega ocorre em dia sem negociação, o pregão de reação é o primeiro que se abrir.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 pregão de reação decompõe-se em duas partes, e a distinção é relevante: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salto de abertura</w:t>
      </w:r>
      <w:r>
        <w:rPr>
          <w:rFonts w:ascii="Times New Roman" w:hAnsi="Times New Roman"/>
          <w:sz w:val="24"/>
        </w:rPr>
        <w:t>, dado por $\ln(A_{d+1} / F_d)$, em que $A$ é a abertura e $F$ o fechamento — é a reação ao intervalo em que a informação esteve disponível sem possibilidade de negociação;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percurso intradiário</w:t>
      </w:r>
      <w:r>
        <w:rPr>
          <w:rFonts w:ascii="Times New Roman" w:hAnsi="Times New Roman"/>
          <w:sz w:val="24"/>
        </w:rPr>
        <w:t>, $\ln(F_{d+1} / A_{d+1})$, posterior ao momento em que o mercado já incorporou a informação na abertura.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 As medidas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volatilidade do pregão de reação é estimada por Parkinson (1980):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$$\sigma_t = \sqrt{\frac{[\ln(H_t / L_t)]^2}{4\ln 2}}$$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em que $H$ e $L$ são a máxima e a mínima do dia. O volume é o número de ações negociadas. A direção é o sinal do retorno logarítmico.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4.3 A linha de base recente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Cada medida do pregão de reação é dividida pela média dos cinco pregões anteriores, </w:t>
      </w:r>
      <w:r>
        <w:rPr>
          <w:rFonts w:ascii="Times New Roman" w:hAnsi="Times New Roman"/>
          <w:b/>
          <w:sz w:val="24"/>
        </w:rPr>
        <w:t>excluídos os dois imediatamente precedentes</w:t>
      </w:r>
      <w:r>
        <w:rPr>
          <w:rFonts w:ascii="Times New Roman" w:hAnsi="Times New Roman"/>
          <w:sz w:val="24"/>
        </w:rPr>
        <w:t xml:space="preserve"> — isto é, a janela $[-6, -2]$. A exclusão é deliberada: havendo vazamento de informação na véspera, incluí-la na linha de base a inflaria e atenuaria o efeito medido.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robustez a essa escolha é verificada com janelas de duas semanas, de um mês e com a janela distante convencional (Seção 5.3).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4.4 O grupo de controle e o piso da razão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razão descrita acima não tem valor neutro igual a 1,00, e tratá-la como se tivesse produz erro material.</w:t>
      </w:r>
      <w:r>
        <w:rPr>
          <w:rFonts w:ascii="Times New Roman" w:hAnsi="Times New Roman"/>
          <w:sz w:val="24"/>
        </w:rPr>
        <w:t xml:space="preserve"> A distribuição de uma razão entre uma observação e a média de observações recentes é assimétrica à direita: um dia pode exceder a média em múltiplos arbitrários, mas não pode ficar abaixo dela em proporção equivalente, dado que o piso é zero. Em consequência, a média da razão excede a unidade mesmo na ausência de qualquer evento.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Para determinar esse piso. a mesma razão foi calculada em 105.896 pregões dos mesmos papéis e do mesmo período, </w:t>
      </w:r>
      <w:r>
        <w:rPr>
          <w:rFonts w:ascii="Times New Roman" w:hAnsi="Times New Roman"/>
          <w:b/>
          <w:sz w:val="24"/>
        </w:rPr>
        <w:t>nos quais não houve divulgação alguma</w:t>
      </w:r>
      <w:r>
        <w:rPr>
          <w:rFonts w:ascii="Times New Roman" w:hAnsi="Times New Roman"/>
          <w:sz w:val="24"/>
        </w:rPr>
        <w:t>. O piso é de 1.031 na volatilidade e 1.060 no volume.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Todos os excessos reportados na Seção 5 são medidos contra esse piso, e não contra a unidade.</w:t>
      </w:r>
      <w:r>
        <w:rPr>
          <w:rFonts w:ascii="Times New Roman" w:hAnsi="Times New Roman"/>
          <w:sz w:val="24"/>
        </w:rPr>
        <w:t xml:space="preserve"> A diferença não é trivial: contra a unidade, o excesso de volatilidade seria de 13,0% e o de volume de 23,5%; contra o piso, são 9.6% e 16.5%.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RESULTADOS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5.1 Quando as companhias divulgam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Momento da entrega, pelo recibo oficial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Faixa horária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Proporção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até 09h59 — antes da abertura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23.9%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10h00 às 16h59 — com o pregão aberto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11.6%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17h00 em diante — após o encerramento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64.5%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pelos autores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88.4% das divulgações ocorrem fora do horário de negociação</w:t>
      </w:r>
      <w:r>
        <w:rPr>
          <w:rFonts w:ascii="Times New Roman" w:hAnsi="Times New Roman"/>
          <w:sz w:val="24"/>
        </w:rPr>
        <w:t>, em conformidade com a recomendação do artigo 5º da Resolução. A observância é elevada, ainda que não integral.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5.2 O carimbo de hora é informativo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Antes de empregar a hora recuperada, convém demonstrar que ela carrega informação. A previsão é direta: se o carimbo for fidedigno e o mercado reagir racionalmente, a divulgação matinal deve concentrar o movimento no </w:t>
      </w:r>
      <w:r>
        <w:rPr>
          <w:rFonts w:ascii="Times New Roman" w:hAnsi="Times New Roman"/>
          <w:b/>
          <w:sz w:val="24"/>
        </w:rPr>
        <w:t>mesmo</w:t>
      </w:r>
      <w:r>
        <w:rPr>
          <w:rFonts w:ascii="Times New Roman" w:hAnsi="Times New Roman"/>
          <w:sz w:val="24"/>
        </w:rPr>
        <w:t xml:space="preserve"> pregão, e a noturna no </w:t>
      </w:r>
      <w:r>
        <w:rPr>
          <w:rFonts w:ascii="Times New Roman" w:hAnsi="Times New Roman"/>
          <w:b/>
          <w:sz w:val="24"/>
        </w:rPr>
        <w:t>seguinte</w:t>
      </w:r>
      <w:r>
        <w:rPr>
          <w:rFonts w:ascii="Times New Roman" w:hAnsi="Times New Roman"/>
          <w:sz w:val="24"/>
        </w:rPr>
        <w:t>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Em que pregão se concentra o movimento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 da divulgação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Volatilidade em D0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Volatilidade em D+1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Predomina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até 09h59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1.145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1.640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1.180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10h00–16h59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239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2.099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1.546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17h00 em diante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3.086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1.092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1.419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D+1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pelos autores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padrão previsto verifica-se integralmente.</w:t>
      </w:r>
      <w:r>
        <w:rPr>
          <w:rFonts w:ascii="Times New Roman" w:hAnsi="Times New Roman"/>
          <w:sz w:val="24"/>
        </w:rPr>
        <w:t xml:space="preserve"> A diferença entre o grupo matinal e o noturno, medida por $(D_0 - D_{+1})$, é de 0.786 ($t = 10.06$; $p = 3.0e-23$). </w:t>
      </w:r>
      <w:r>
        <w:rPr>
          <w:rFonts w:ascii="Times New Roman" w:hAnsi="Times New Roman"/>
          <w:b/>
          <w:sz w:val="24"/>
        </w:rPr>
        <w:t>A hora recuperada não é apenas plausível: ela prediz em qual pregão o mercado responde.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Registre-se ainda o grupo intermediário: a divulgação feita </w:t>
      </w:r>
      <w:r>
        <w:rPr>
          <w:rFonts w:ascii="Times New Roman" w:hAnsi="Times New Roman"/>
          <w:b/>
          <w:sz w:val="24"/>
        </w:rPr>
        <w:t>com o pregão aberto</w:t>
      </w:r>
      <w:r>
        <w:rPr>
          <w:rFonts w:ascii="Times New Roman" w:hAnsi="Times New Roman"/>
          <w:sz w:val="24"/>
        </w:rPr>
        <w:t xml:space="preserve"> produz o maior choque da amostra (2.099 em D0), ainda que em apenas 239 casos. É o momento em que o mercado não dispõe de intervalo para assimilar a informação — o que corrobora, por via empírica, a razão de ser da recomendação do artigo 5º.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5.3 Volatilidade e volume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Pregão de reação contra pregão sem divulgação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Medida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Sem divulgação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 divulgação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Excesso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volatilidade (Parkinson)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1.031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1.130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+9.6%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7.1e-55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 negociado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1.060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1.235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+16.5%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3.6e-62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salto de abertura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0.077%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0.161%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+0.08 p.p.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1.9e-04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retorno do pregão (direção)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0.012%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-0.001%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nulo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0.738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pelos autores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Em termos absolutos: a oscilação diária passa de 2.03% para 2.25%, e o giro de 11.16 para 19.17 milhões de ações.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volume é o sinal mais forte, em magnitude próxima ao dobro do da volatilidade.</w:t>
      </w:r>
      <w:r>
        <w:rPr>
          <w:rFonts w:ascii="Times New Roman" w:hAnsi="Times New Roman"/>
          <w:sz w:val="24"/>
        </w:rPr>
        <w:t xml:space="preserve"> O achado converge com Hashami e Maldonado (2025), que no mercado de petróleo encontram na contagem de notícias — medida de atenção, não de conteúdo — o preditor mais robusto.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robustez à janela de referência é satisfatória: com base de duas semanas, de um mês ou com a janela distante convencional, a razão de volatilidade permanece entre 1,20 e 1,23 para Fatos Relevantes, e a de volume entre 1,42 e 1,49.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5.4 A ausência de efeito direcional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retorno do pregão de reação não difere do de pregões sem divulgação ($p = 0.738$). </w:t>
      </w:r>
      <w:r>
        <w:rPr>
          <w:rFonts w:ascii="Times New Roman" w:hAnsi="Times New Roman"/>
          <w:b/>
          <w:sz w:val="24"/>
        </w:rPr>
        <w:t>O resultado não é falha de desenho: é consequência lógica da categoria empregada.</w:t>
      </w:r>
      <w:r>
        <w:rPr>
          <w:rFonts w:ascii="Times New Roman" w:hAnsi="Times New Roman"/>
          <w:sz w:val="24"/>
        </w:rPr>
        <w:t xml:space="preserve"> O rótulo “Fato Relevante” não possui sinal — não distingue informação favorável de desfavorável. Havendo fatos relevantes de ambos os tipos, as altas e as baixas compensam-se na média.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salto de abertura, contudo, apresenta excesso pequeno e significativo (+0.08 ponto percentual; $p = 1.9e-04$). </w:t>
      </w:r>
      <w:r>
        <w:rPr>
          <w:rFonts w:ascii="Times New Roman" w:hAnsi="Times New Roman"/>
          <w:b/>
          <w:sz w:val="24"/>
        </w:rPr>
        <w:t>Recomenda-se cautela na interpretação</w:t>
      </w:r>
      <w:r>
        <w:rPr>
          <w:rFonts w:ascii="Times New Roman" w:hAnsi="Times New Roman"/>
          <w:sz w:val="24"/>
        </w:rPr>
        <w:t>: o padrão de salto positivo seguido de correção intradiária está presente também nos pregões sem divulgação, tratando-se, em boa medida, de regularidade de microestrutura e não de resposta informacional.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5.5 A distinção legal tem correspondência empírica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Fato Relevante contra Comunicado ao Mercado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Medida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Fato Relevante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Comunicado ao Mercado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Razão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excesso de volatilidade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+18.2%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+6.9%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2.65×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7.2e-18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excesso de volume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+36.4%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+12.2%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3.00×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4.7e-26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pelos autores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hierarquia normativa reproduz-se no comportamento do preço.</w:t>
      </w:r>
      <w:r>
        <w:rPr>
          <w:rFonts w:ascii="Times New Roman" w:hAnsi="Times New Roman"/>
          <w:sz w:val="24"/>
        </w:rPr>
        <w:t xml:space="preserve"> O que a norma reserva à categoria de maior peso move a volatilidade 2.6 vezes mais e o volume 3.0 vezes mais.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resultado é tanto mais notável quanto se recorde que o enquadramento é autodeclarado.</w:t>
      </w:r>
      <w:r>
        <w:rPr>
          <w:rFonts w:ascii="Times New Roman" w:hAnsi="Times New Roman"/>
          <w:sz w:val="24"/>
        </w:rPr>
        <w:t xml:space="preserve"> Não há classificação independente separando as duas categorias; há o julgamento da própria companhia, com incentivos que podem distorcê-lo em ambas as direções. Que a separação empírica sobreviva a esse ruído sugere que a diferença real seja superior à medida.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5.6 O achado distributivo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Os resultados anteriores são médias. A distribuição conta história distinta, e é ela o achado central do trabalho.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Distribuição da razão de volatilidade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Fato Relevante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Comunicado ao Mercado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mediana — o caso típico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1.065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0.975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75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1.469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1.309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2.020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1.783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3.440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3.174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1.219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1.102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proporção sem movimento acima do usual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51.9%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62.0%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pelos autores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Fato Relevante mediano produz razão de 1.065</w:t>
      </w:r>
      <w:r>
        <w:rPr>
          <w:rFonts w:ascii="Times New Roman" w:hAnsi="Times New Roman"/>
          <w:sz w:val="24"/>
        </w:rPr>
        <w:t xml:space="preserve"> — movimento praticamente indistinguível do de uma semana comum. </w:t>
      </w:r>
      <w:r>
        <w:rPr>
          <w:rFonts w:ascii="Times New Roman" w:hAnsi="Times New Roman"/>
          <w:b/>
          <w:sz w:val="24"/>
        </w:rPr>
        <w:t>51.9% dos Fatos Relevantes não produzem movimento acima do usual</w:t>
      </w:r>
      <w:r>
        <w:rPr>
          <w:rFonts w:ascii="Times New Roman" w:hAnsi="Times New Roman"/>
          <w:sz w:val="24"/>
        </w:rPr>
        <w:t xml:space="preserve">, proporção que sobe a 62.0% entre os Comunicados ao Mercado. No conjunto, </w:t>
      </w:r>
      <w:r>
        <w:rPr>
          <w:rFonts w:ascii="Times New Roman" w:hAnsi="Times New Roman"/>
          <w:b/>
          <w:sz w:val="24"/>
        </w:rPr>
        <w:t>59.0% das divulgações não movem o preço.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excesso médio de 9,6% não decorre de todos os eventos produzirem pequeno movimento; decorre de uma minoria produzir movimento grande.</w:t>
      </w:r>
      <w:r>
        <w:rPr>
          <w:rFonts w:ascii="Times New Roman" w:hAnsi="Times New Roman"/>
          <w:sz w:val="24"/>
        </w:rPr>
        <w:t xml:space="preserve"> A média e a mediana afastam-se de maneira característica de distribuição de cauda pesada.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DISCUSSÃO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presunção legal de relevância é válida em média e falsa na maioria dos casos individuais.</w:t>
      </w:r>
      <w:r>
        <w:rPr>
          <w:rFonts w:ascii="Times New Roman" w:hAnsi="Times New Roman"/>
          <w:sz w:val="24"/>
        </w:rPr>
        <w:t xml:space="preserve"> Essa formulação, aparentemente paradoxal, resume os resultados. O conjunto dos Fatos Relevantes move volatilidade e volume com significância inequívoca; o Fato Relevante mediano não move nada.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consequência prática é imediata para quem pretenda </w:t>
      </w:r>
      <w:r>
        <w:rPr>
          <w:rFonts w:ascii="Times New Roman" w:hAnsi="Times New Roman"/>
          <w:b/>
          <w:sz w:val="24"/>
        </w:rPr>
        <w:t>usar a divulgação como sinal</w:t>
      </w:r>
      <w:r>
        <w:rPr>
          <w:rFonts w:ascii="Times New Roman" w:hAnsi="Times New Roman"/>
          <w:sz w:val="24"/>
        </w:rPr>
        <w:t>. Um sistema que reaja a todo Fato Relevante estará reagindo, na maioria das vezes, a ruído. O valor informacional concentra-se numa fração pequena dos eventos, e identificar essa fração *ex ante* é problema aberto que este trabalho não resolve.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ausência de efeito direcional merece leitura cuidadosa. </w:t>
      </w:r>
      <w:r>
        <w:rPr>
          <w:rFonts w:ascii="Times New Roman" w:hAnsi="Times New Roman"/>
          <w:b/>
          <w:sz w:val="24"/>
        </w:rPr>
        <w:t>Não se conclui daqui que a informação divulgada seja irrelevante para a direção do preço</w:t>
      </w:r>
      <w:r>
        <w:rPr>
          <w:rFonts w:ascii="Times New Roman" w:hAnsi="Times New Roman"/>
          <w:sz w:val="24"/>
        </w:rPr>
        <w:t xml:space="preserve"> — conclui-se que a *categoria* empregada não a distingue. Separar o Fato Relevante favorável do desfavorável exige leitura do conteúdo, e é exatamente o ponto em que este trabalho se abstém deliberadamente, por razões metodológicas: quisemos medir o efeito da divulgação sem introduzir a incerteza de um classificador de texto.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Sobre a validação do critério regulatório, cabe nota de prudência institucional. </w:t>
      </w:r>
      <w:r>
        <w:rPr>
          <w:rFonts w:ascii="Times New Roman" w:hAnsi="Times New Roman"/>
          <w:b/>
          <w:sz w:val="24"/>
        </w:rPr>
        <w:t>O resultado apoia a hierarquia da norma; não apoia a conclusão de que cada enquadramento individual esteja correto.</w:t>
      </w:r>
      <w:r>
        <w:rPr>
          <w:rFonts w:ascii="Times New Roman" w:hAnsi="Times New Roman"/>
          <w:sz w:val="24"/>
        </w:rPr>
        <w:t xml:space="preserve"> Os dados são compatíveis tanto com companhias que classificam bem quanto com um regime em que os erros de enquadramento se cancelam no agregado.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LIMITAÇÕES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Associação, não causalidade.</w:t>
      </w:r>
      <w:r>
        <w:rPr>
          <w:rFonts w:ascii="Times New Roman" w:hAnsi="Times New Roman"/>
          <w:sz w:val="24"/>
        </w:rPr>
        <w:t xml:space="preserve"> O desenho de divulgação noturna aproxima-se de experimento natural, e o grupo de controle é amplo, mas não há aleatorização: nenhuma companhia é sorteada para divulgar fato relevante.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Eventos agrupados.</w:t>
      </w:r>
      <w:r>
        <w:rPr>
          <w:rFonts w:ascii="Times New Roman" w:hAnsi="Times New Roman"/>
          <w:sz w:val="24"/>
        </w:rPr>
        <w:t xml:space="preserve"> Em 28,8% das noites há mais de um documento da mesma companhia, o que impede atribuir o movimento a documento específico. Todos os testes foram replicados sobre o subconjunto de eventos isolados, sem alteração qualitativa dos resultados.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Autodeclaração do enquadramento.</w:t>
      </w:r>
      <w:r>
        <w:rPr>
          <w:rFonts w:ascii="Times New Roman" w:hAnsi="Times New Roman"/>
          <w:sz w:val="24"/>
        </w:rPr>
        <w:t xml:space="preserve"> Conforme a Seção 2.1, a categoria é atribuída pela companhia. O efeito esperado é de atenuação, não de inflação, do contraste medido.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Cobertura de papéis.</w:t>
      </w:r>
      <w:r>
        <w:rPr>
          <w:rFonts w:ascii="Times New Roman" w:hAnsi="Times New Roman"/>
          <w:sz w:val="24"/>
        </w:rPr>
        <w:t xml:space="preserve"> Quatro companhias ficaram sem série de preços e duas foram excluídas por fusão posterior, o que retira cerca de 15% dos eventos.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Conteúdo não examinado.</w:t>
      </w:r>
      <w:r>
        <w:rPr>
          <w:rFonts w:ascii="Times New Roman" w:hAnsi="Times New Roman"/>
          <w:sz w:val="24"/>
        </w:rPr>
        <w:t xml:space="preserve"> O trabalho mede o efeito da divulgação, não o de seu teor. A extensão natural é a leitura do documento íntegro, disponível mas não explorada aqui.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CONCLUSÃO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Recuperou-se a hora oficial de entrega de 20.419 comunicados obrigatórios à Comissão de Valores Mobiliários, informação ausente do conjunto de dados abertos da autarquia. O recurso viabiliza desenho de estudo de evento em que a ordem temporal entre divulgação e negociação é inequívoca, e demonstrou-se que o carimbo recuperado é informativo: prediz em qual pregão o mercado responde ($p = 3e-23$).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Sobre 11.161 eventos de 56 ações, a divulgação eleva a volatilidade em 9.6% e o volume em 16.5% relativamente a pregões sem divulgação, e </w:t>
      </w:r>
      <w:r>
        <w:rPr>
          <w:rFonts w:ascii="Times New Roman" w:hAnsi="Times New Roman"/>
          <w:b/>
          <w:sz w:val="24"/>
        </w:rPr>
        <w:t>não produz efeito direcional</w:t>
      </w:r>
      <w:r>
        <w:rPr>
          <w:rFonts w:ascii="Times New Roman" w:hAnsi="Times New Roman"/>
          <w:sz w:val="24"/>
        </w:rPr>
        <w:t>. A distinção normativa entre Fato Relevante e Comunicado ao Mercado corresponde a diferença empírica de 2.6 vezes.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achado central é distributivo: 59.0% das divulgações obrigatórias não produzem movimento acima do usual.</w:t>
      </w:r>
      <w:r>
        <w:rPr>
          <w:rFonts w:ascii="Times New Roman" w:hAnsi="Times New Roman"/>
          <w:sz w:val="24"/>
        </w:rPr>
        <w:t xml:space="preserve"> A presunção de relevância que a norma estabelece sustenta-se no agregado e não se sustenta no caso típico.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 xml:space="preserve"> REFERÊNCIAS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BODILSEN, S.; LUNDE, A. Exploiting news analytics for volatility forecasting. *Journal of Applied Econometrics*, v. 40, n. 1, p. 18–36, 2025.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BROWN, S. J.; WARNER, J. B. Using daily stock returns: the case of event studies. *Journal of Financial Economics*, v. 14, n. 1, p. 3–31, 1985.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COMISSÃO DE VALORES MOBILIÁRIOS. </w:t>
      </w:r>
      <w:r>
        <w:rPr>
          <w:rFonts w:ascii="Times New Roman" w:hAnsi="Times New Roman"/>
          <w:b/>
          <w:sz w:val="24"/>
        </w:rPr>
        <w:t>Resolução CVM nº 44, de 23 de agosto de 2021.</w:t>
      </w:r>
      <w:r>
        <w:rPr>
          <w:rFonts w:ascii="Times New Roman" w:hAnsi="Times New Roman"/>
          <w:sz w:val="24"/>
        </w:rPr>
        <w:t xml:space="preserve"> Dispõe sobre a divulgação de informações sobre ato ou fato relevante. Rio de Janeiro: CVM, 2021.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CORSI, F. A simple approximate long-memory model of realized volatility. *Journal of Financial Econometrics*, v. 7, n. 2, p. 174–196, 2009.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ENGLE, R. F. Autoregressive conditional heteroscedasticity with estimates of the variance of United Kingdom inflation. *Econometrica*, v. 50, n. 4, p. 987–1007, 1982.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FAMA, E. F.; FISHER, L.; JENSEN, M. C.; ROLL, R. The adjustment of stock prices to new information. *International Economic Review*, v. 10, n. 1, p. 1–21, 1969.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HALOUSKOVÁ, M.; LYÓCSA, Š. </w:t>
      </w:r>
      <w:r>
        <w:rPr>
          <w:rFonts w:ascii="Times New Roman" w:hAnsi="Times New Roman"/>
          <w:b/>
          <w:sz w:val="24"/>
        </w:rPr>
        <w:t>Forecasting U.S. equity market volatility with attention and sentiment to the economy.</w:t>
      </w:r>
      <w:r>
        <w:rPr>
          <w:rFonts w:ascii="Times New Roman" w:hAnsi="Times New Roman"/>
          <w:sz w:val="24"/>
        </w:rPr>
        <w:t xml:space="preserve"> arXiv:2503.19767, 2025.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HASHAMI, R.; MALDONADO, F. </w:t>
      </w:r>
      <w:r>
        <w:rPr>
          <w:rFonts w:ascii="Times New Roman" w:hAnsi="Times New Roman"/>
          <w:b/>
          <w:sz w:val="24"/>
        </w:rPr>
        <w:t>Can news predict the direction of oil price volatility? A language model approach with SHAP explanations.</w:t>
      </w:r>
      <w:r>
        <w:rPr>
          <w:rFonts w:ascii="Times New Roman" w:hAnsi="Times New Roman"/>
          <w:sz w:val="24"/>
        </w:rPr>
        <w:t xml:space="preserve"> arXiv:2508.20707, 2025.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MACKINLAY, A. C. Event studies in economics and finance. *Journal of Economic Literature*, v. 35, n. 1, p. 13–39, 1997.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NGUYEN, T. H.; SHIRAI, K.; VELCIN, J. Sentiment analysis on social media for stock movement prediction. *Expert Systems with Applications*, v. 42, n. 24, p. 9603–9611, 2015.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PARKINSON, M. The extreme value method for estimating the variance of the rate of return. *Journal of Business*, v. 53, n. 1, p. 61–65, 1980.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RUAN, L.; JIANG, H. Stock price prediction using FinBERT-enhanced sentiment with SHAP explainability and differential privacy. *Mathematics*, v. 13, n. 17, art. 2747, 2025.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>SCHUMAKER, R. P.; CHEN, H. A quantitative stock prediction system based on financial news. *Information Processing &amp; Management*, v. 45, n. 5, p. 571–583, 2009.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 xml:space="preserve"> NOTA SOBRE AS REFERÊNCIAS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As referências de Bodilsen e Lunde, Halousková e Lyócsa, Hashami e Maldonado, Nguyen *et al.*, Ruan e Jiang e Schumaker e Chen foram verificadas diretamente na fonte durante a elaboração deste trabalho. </w:t>
      </w:r>
      <w:r>
        <w:rPr>
          <w:rFonts w:ascii="Times New Roman" w:hAnsi="Times New Roman"/>
          <w:b/>
          <w:sz w:val="24"/>
        </w:rPr>
        <w:t>As referências canônicas de método — Brown e Warner, Corsi, Engle, Fama *et al.*, MacKinlay e Parkinson — foram arroladas a partir de conhecimento consolidado e devem ter volume, número e paginação conferidos antes da submissão.</w:t>
      </w:r>
      <w:r>
        <w:rPr>
          <w:rFonts w:ascii="Times New Roman" w:hAnsi="Times New Roman"/>
          <w:sz w:val="24"/>
        </w:rPr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