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28"/>
        </w:rPr>
        <w:t>QUEM TENTA PREVER DIREÇÃO E VOLATILIDADE</w:t>
      </w:r>
    </w:p>
    <w:p>
      <w:pPr>
        <w:jc w:val="center"/>
      </w:pPr>
      <w:r>
        <w:rPr>
          <w:rFonts w:ascii="Times New Roman" w:hAnsi="Times New Roman"/>
          <w:i/>
          <w:sz w:val="24"/>
        </w:rPr>
        <w:t>Dezesseis pesquisas, o que buscam, o que conseguiram e com que ferramenta — roteiro objetivo para a reunião</w:t>
      </w:r>
    </w:p>
    <w:p/>
    <w:p/>
    <w:p>
      <w:pPr>
        <w:jc w:val="center"/>
      </w:pPr>
      <w:r>
        <w:rPr>
          <w:rFonts w:ascii="Times New Roman" w:hAnsi="Times New Roman"/>
          <w:sz w:val="24"/>
        </w:rPr>
        <w:t>Vanderlei Barbosa da Silva</w:t>
      </w:r>
    </w:p>
    <w:p>
      <w:pPr>
        <w:jc w:val="center"/>
      </w:pPr>
      <w:r>
        <w:rPr>
          <w:rFonts w:ascii="Times New Roman" w:hAnsi="Times New Roman"/>
          <w:sz w:val="24"/>
        </w:rPr>
        <w:t>Orientador: Prof. Dr. Julio Cesar Nievola</w:t>
      </w:r>
    </w:p>
    <w:p>
      <w:pPr>
        <w:jc w:val="center"/>
      </w:pPr>
      <w:r>
        <w:rPr>
          <w:rFonts w:ascii="Times New Roman" w:hAnsi="Times New Roman"/>
          <w:sz w:val="24"/>
        </w:rPr>
        <w:t>PUCPR — Programa de Pós-Graduação em Informática (PPGIa)</w:t>
      </w:r>
    </w:p>
    <w:p/>
    <w:p>
      <w:pPr>
        <w:ind w:left="4535"/>
        <w:jc w:val="both"/>
      </w:pPr>
      <w:r>
        <w:rPr>
          <w:rFonts w:ascii="Times New Roman" w:hAnsi="Times New Roman"/>
          <w:sz w:val="20"/>
        </w:rPr>
        <w:t>Recorte estrito: apenas pesquisas cujo objetivo é prever a direção ou a volatilidade do preço de um ativo ou índice. Ficam de fora os trabalhos que apenas constroem ferramentas de leitura ou constroem índices de medida. Elaborado em 20 de agosto de 2026.</w:t>
      </w:r>
    </w:p>
    <w:p>
      <w:r>
        <w:br w:type="page"/>
      </w:r>
    </w:p>
    <w:p>
      <w:pPr>
        <w:keepNext/>
        <w:spacing w:before="360" w:after="120"/>
      </w:pPr>
      <w:r>
        <w:rPr>
          <w:rFonts w:ascii="Times New Roman" w:hAnsi="Times New Roman"/>
          <w:b/>
          <w:sz w:val="24"/>
        </w:rPr>
        <w:t>1 A RESPOSTA EM CINCO LINHAS</w:t>
      </w:r>
    </w:p>
    <w:p>
      <w:pPr>
        <w:pStyle w:val="ListBullet"/>
        <w:spacing w:line="360" w:lineRule="auto"/>
      </w:pPr>
      <w:r>
        <w:rPr>
          <w:rFonts w:ascii="Times New Roman" w:hAnsi="Times New Roman"/>
          <w:sz w:val="24"/>
        </w:rPr>
      </w:r>
      <w:r>
        <w:rPr>
          <w:rFonts w:ascii="Times New Roman" w:hAnsi="Times New Roman"/>
          <w:b/>
          <w:sz w:val="24"/>
        </w:rPr>
        <w:t>Volatilidade:</w:t>
      </w:r>
      <w:r>
        <w:rPr>
          <w:rFonts w:ascii="Times New Roman" w:hAnsi="Times New Roman"/>
          <w:sz w:val="24"/>
        </w:rPr>
        <w:t xml:space="preserve"> dois trabalhos superam o modelo de referência e nós não. Mas eles usam </w:t>
      </w:r>
      <w:r>
        <w:rPr>
          <w:rFonts w:ascii="Times New Roman" w:hAnsi="Times New Roman"/>
          <w:b/>
          <w:sz w:val="24"/>
        </w:rPr>
        <w:t>404 ações</w:t>
      </w:r>
      <w:r>
        <w:rPr>
          <w:rFonts w:ascii="Times New Roman" w:hAnsi="Times New Roman"/>
          <w:sz w:val="24"/>
        </w:rPr>
        <w:t xml:space="preserve"> e dados </w:t>
      </w:r>
      <w:r>
        <w:rPr>
          <w:rFonts w:ascii="Times New Roman" w:hAnsi="Times New Roman"/>
          <w:b/>
          <w:sz w:val="24"/>
        </w:rPr>
        <w:t>de 5 em 5 minutos</w:t>
      </w:r>
      <w:r>
        <w:rPr>
          <w:rFonts w:ascii="Times New Roman" w:hAnsi="Times New Roman"/>
          <w:sz w:val="24"/>
        </w:rPr>
        <w:t xml:space="preserve">; nós, </w:t>
      </w:r>
      <w:r>
        <w:rPr>
          <w:rFonts w:ascii="Times New Roman" w:hAnsi="Times New Roman"/>
          <w:b/>
          <w:sz w:val="24"/>
        </w:rPr>
        <w:t>uma ação</w:t>
      </w:r>
      <w:r>
        <w:rPr>
          <w:rFonts w:ascii="Times New Roman" w:hAnsi="Times New Roman"/>
          <w:sz w:val="24"/>
        </w:rPr>
        <w:t xml:space="preserve"> e dado </w:t>
      </w:r>
      <w:r>
        <w:rPr>
          <w:rFonts w:ascii="Times New Roman" w:hAnsi="Times New Roman"/>
          <w:b/>
          <w:sz w:val="24"/>
        </w:rPr>
        <w:t>diário</w:t>
      </w:r>
      <w:r>
        <w:rPr>
          <w:rFonts w:ascii="Times New Roman" w:hAnsi="Times New Roman"/>
          <w:sz w:val="24"/>
        </w:rPr>
        <w:t>.</w:t>
      </w:r>
    </w:p>
    <w:p>
      <w:pPr>
        <w:pStyle w:val="ListBullet"/>
        <w:spacing w:line="360" w:lineRule="auto"/>
      </w:pPr>
      <w:r>
        <w:rPr>
          <w:rFonts w:ascii="Times New Roman" w:hAnsi="Times New Roman"/>
          <w:sz w:val="24"/>
        </w:rPr>
      </w:r>
      <w:r>
        <w:rPr>
          <w:rFonts w:ascii="Times New Roman" w:hAnsi="Times New Roman"/>
          <w:b/>
          <w:sz w:val="24"/>
        </w:rPr>
        <w:t>Direção:</w:t>
      </w:r>
      <w:r>
        <w:rPr>
          <w:rFonts w:ascii="Times New Roman" w:hAnsi="Times New Roman"/>
          <w:sz w:val="24"/>
        </w:rPr>
        <w:t xml:space="preserve"> ninguém prevê bem. Os números altos são de </w:t>
      </w:r>
      <w:r>
        <w:rPr>
          <w:rFonts w:ascii="Times New Roman" w:hAnsi="Times New Roman"/>
          <w:b/>
          <w:sz w:val="24"/>
        </w:rPr>
        <w:t>15 dias</w:t>
      </w:r>
      <w:r>
        <w:rPr>
          <w:rFonts w:ascii="Times New Roman" w:hAnsi="Times New Roman"/>
          <w:sz w:val="24"/>
        </w:rPr>
        <w:t xml:space="preserve"> (Bollen), de </w:t>
      </w:r>
      <w:r>
        <w:rPr>
          <w:rFonts w:ascii="Times New Roman" w:hAnsi="Times New Roman"/>
          <w:b/>
          <w:sz w:val="24"/>
        </w:rPr>
        <w:t>20 minutos</w:t>
      </w:r>
      <w:r>
        <w:rPr>
          <w:rFonts w:ascii="Times New Roman" w:hAnsi="Times New Roman"/>
          <w:sz w:val="24"/>
        </w:rPr>
        <w:t xml:space="preserve"> (Schumaker), do </w:t>
      </w:r>
      <w:r>
        <w:rPr>
          <w:rFonts w:ascii="Times New Roman" w:hAnsi="Times New Roman"/>
          <w:b/>
          <w:sz w:val="24"/>
        </w:rPr>
        <w:t>nível do preço</w:t>
      </w:r>
      <w:r>
        <w:rPr>
          <w:rFonts w:ascii="Times New Roman" w:hAnsi="Times New Roman"/>
          <w:sz w:val="24"/>
        </w:rPr>
        <w:t xml:space="preserve"> (FinBERT-LSTM) ou de </w:t>
      </w:r>
      <w:r>
        <w:rPr>
          <w:rFonts w:ascii="Times New Roman" w:hAnsi="Times New Roman"/>
          <w:b/>
          <w:sz w:val="24"/>
        </w:rPr>
        <w:t>outro mercado</w:t>
      </w:r>
      <w:r>
        <w:rPr>
          <w:rFonts w:ascii="Times New Roman" w:hAnsi="Times New Roman"/>
          <w:sz w:val="24"/>
        </w:rPr>
        <w:t xml:space="preserve"> (Barak).</w:t>
      </w:r>
    </w:p>
    <w:p>
      <w:pPr>
        <w:pStyle w:val="ListBullet"/>
        <w:spacing w:line="360" w:lineRule="auto"/>
      </w:pPr>
      <w:r>
        <w:rPr>
          <w:rFonts w:ascii="Times New Roman" w:hAnsi="Times New Roman"/>
          <w:sz w:val="24"/>
        </w:rPr>
      </w:r>
      <w:r>
        <w:rPr>
          <w:rFonts w:ascii="Times New Roman" w:hAnsi="Times New Roman"/>
          <w:b/>
          <w:sz w:val="24"/>
        </w:rPr>
        <w:t>A comparação legítima</w:t>
      </w:r>
      <w:r>
        <w:rPr>
          <w:rFonts w:ascii="Times New Roman" w:hAnsi="Times New Roman"/>
          <w:sz w:val="24"/>
        </w:rPr>
        <w:t xml:space="preserve"> não é a acurácia absoluta: é o </w:t>
      </w:r>
      <w:r>
        <w:rPr>
          <w:rFonts w:ascii="Times New Roman" w:hAnsi="Times New Roman"/>
          <w:b/>
          <w:sz w:val="24"/>
        </w:rPr>
        <w:t>ganho</w:t>
      </w:r>
      <w:r>
        <w:rPr>
          <w:rFonts w:ascii="Times New Roman" w:hAnsi="Times New Roman"/>
          <w:sz w:val="24"/>
        </w:rPr>
        <w:t xml:space="preserve"> que a notícia acrescenta a um modelo só de preços. A literatura reporta </w:t>
      </w:r>
      <w:r>
        <w:rPr>
          <w:rFonts w:ascii="Times New Roman" w:hAnsi="Times New Roman"/>
          <w:b/>
          <w:sz w:val="24"/>
        </w:rPr>
        <w:t>2 a 10 pontos percentuais</w:t>
      </w:r>
      <w:r>
        <w:rPr>
          <w:rFonts w:ascii="Times New Roman" w:hAnsi="Times New Roman"/>
          <w:sz w:val="24"/>
        </w:rPr>
        <w:t xml:space="preserve">. </w:t>
      </w:r>
      <w:r>
        <w:rPr>
          <w:rFonts w:ascii="Times New Roman" w:hAnsi="Times New Roman"/>
          <w:b/>
          <w:sz w:val="24"/>
        </w:rPr>
        <w:t>O nosso é 4,4. Estamos na faixa.</w:t>
      </w:r>
      <w:r>
        <w:rPr>
          <w:rFonts w:ascii="Times New Roman" w:hAnsi="Times New Roman"/>
          <w:sz w:val="24"/>
        </w:rPr>
      </w:r>
    </w:p>
    <w:p>
      <w:pPr>
        <w:pStyle w:val="ListBullet"/>
        <w:spacing w:line="360" w:lineRule="auto"/>
      </w:pPr>
      <w:r>
        <w:rPr>
          <w:rFonts w:ascii="Times New Roman" w:hAnsi="Times New Roman"/>
          <w:sz w:val="24"/>
        </w:rPr>
      </w:r>
      <w:r>
        <w:rPr>
          <w:rFonts w:ascii="Times New Roman" w:hAnsi="Times New Roman"/>
          <w:b/>
          <w:sz w:val="24"/>
        </w:rPr>
        <w:t>A ferramenta convergiu:</w:t>
      </w:r>
      <w:r>
        <w:rPr>
          <w:rFonts w:ascii="Times New Roman" w:hAnsi="Times New Roman"/>
          <w:sz w:val="24"/>
        </w:rPr>
        <w:t xml:space="preserve"> quase todos usam </w:t>
      </w:r>
      <w:r>
        <w:rPr>
          <w:rFonts w:ascii="Times New Roman" w:hAnsi="Times New Roman"/>
          <w:b/>
          <w:sz w:val="24"/>
        </w:rPr>
        <w:t>FinBERT</w:t>
      </w:r>
      <w:r>
        <w:rPr>
          <w:rFonts w:ascii="Times New Roman" w:hAnsi="Times New Roman"/>
          <w:sz w:val="24"/>
        </w:rPr>
        <w:t xml:space="preserve"> ou variante. Não é aí que está a diferença de desempenho.</w:t>
      </w:r>
    </w:p>
    <w:p>
      <w:pPr>
        <w:pStyle w:val="ListBullet"/>
        <w:spacing w:line="360" w:lineRule="auto"/>
      </w:pPr>
      <w:r>
        <w:rPr>
          <w:rFonts w:ascii="Times New Roman" w:hAnsi="Times New Roman"/>
          <w:sz w:val="24"/>
        </w:rPr>
      </w:r>
      <w:r>
        <w:rPr>
          <w:rFonts w:ascii="Times New Roman" w:hAnsi="Times New Roman"/>
          <w:b/>
          <w:sz w:val="24"/>
        </w:rPr>
        <w:t>Há um alvo novo</w:t>
      </w:r>
      <w:r>
        <w:rPr>
          <w:rFonts w:ascii="Times New Roman" w:hAnsi="Times New Roman"/>
          <w:sz w:val="24"/>
        </w:rPr>
        <w:t xml:space="preserve"> que ninguém no Brasil testou: prever se a volatilidade vai </w:t>
      </w:r>
      <w:r>
        <w:rPr>
          <w:rFonts w:ascii="Times New Roman" w:hAnsi="Times New Roman"/>
          <w:b/>
          <w:sz w:val="24"/>
        </w:rPr>
        <w:t>subir ou descer</w:t>
      </w:r>
      <w:r>
        <w:rPr>
          <w:rFonts w:ascii="Times New Roman" w:hAnsi="Times New Roman"/>
          <w:sz w:val="24"/>
        </w:rPr>
        <w:t>, em vez do tamanho dela.</w:t>
      </w:r>
    </w:p>
    <w:p>
      <w:pPr>
        <w:keepNext/>
        <w:spacing w:before="360" w:after="120"/>
      </w:pPr>
      <w:r>
        <w:rPr>
          <w:rFonts w:ascii="Times New Roman" w:hAnsi="Times New Roman"/>
          <w:b/>
          <w:sz w:val="24"/>
        </w:rPr>
        <w:t>2 VOLATILIDADE — QUEM TENTA E O QUE CONSEGUIU</w:t>
      </w:r>
    </w:p>
    <w:p>
      <w:pPr>
        <w:spacing w:line="240" w:lineRule="auto" w:before="120" w:after="40"/>
        <w:jc w:val="center"/>
      </w:pPr>
      <w:r>
        <w:rPr>
          <w:rFonts w:ascii="Times New Roman" w:hAnsi="Times New Roman"/>
          <w:sz w:val="20"/>
        </w:rPr>
        <w:t>Tabela 1 – Previsão de volatilidade</w:t>
      </w:r>
    </w:p>
    <w:tbl>
      <w:tblPr>
        <w:tblW w:type="auto" w:w="0"/>
        <w:jc w:val="center"/>
        <w:tblLook w:firstColumn="1" w:firstRow="1" w:lastColumn="0" w:lastRow="0" w:noHBand="0" w:noVBand="1" w:val="04A0"/>
        <w:tblBorders>
          <w:top w:val="single" w:sz="8" w:color="000000"/>
          <w:bottom w:val="single" w:sz="8" w:color="000000"/>
          <w:left w:val="none" w:sz="0"/>
          <w:right w:val="none" w:sz="0"/>
          <w:insideV w:val="none" w:sz="0"/>
        </w:tblBorders>
      </w:tblPr>
      <w:tblGrid>
        <w:gridCol w:w="2351"/>
        <w:gridCol w:w="2351"/>
        <w:gridCol w:w="2351"/>
        <w:gridCol w:w="2351"/>
      </w:tblGrid>
      <w:tr>
        <w:tc>
          <w:tcPr>
            <w:tcW w:type="dxa" w:w="2351"/>
            <w:tcBorders>
              <w:bottom w:val="single" w:sz="8" w:color="000000"/>
            </w:tcBorders>
          </w:tcPr>
          <w:p>
            <w:pPr>
              <w:spacing w:line="240" w:lineRule="auto" w:after="0"/>
            </w:pPr>
            <w:r>
              <w:rPr>
                <w:rFonts w:ascii="Times New Roman" w:hAnsi="Times New Roman"/>
                <w:b/>
                <w:sz w:val="22"/>
              </w:rPr>
              <w:t>Pesquisa</w:t>
            </w:r>
          </w:p>
        </w:tc>
        <w:tc>
          <w:tcPr>
            <w:tcW w:type="dxa" w:w="2351"/>
            <w:tcBorders>
              <w:bottom w:val="single" w:sz="8" w:color="000000"/>
            </w:tcBorders>
          </w:tcPr>
          <w:p>
            <w:pPr>
              <w:spacing w:line="240" w:lineRule="auto" w:after="0"/>
            </w:pPr>
            <w:r>
              <w:rPr>
                <w:rFonts w:ascii="Times New Roman" w:hAnsi="Times New Roman"/>
                <w:b/>
                <w:sz w:val="22"/>
              </w:rPr>
              <w:t>Ferramenta</w:t>
            </w:r>
          </w:p>
        </w:tc>
        <w:tc>
          <w:tcPr>
            <w:tcW w:type="dxa" w:w="2351"/>
            <w:tcBorders>
              <w:bottom w:val="single" w:sz="8" w:color="000000"/>
            </w:tcBorders>
          </w:tcPr>
          <w:p>
            <w:pPr>
              <w:spacing w:line="240" w:lineRule="auto" w:after="0"/>
            </w:pPr>
            <w:r>
              <w:rPr>
                <w:rFonts w:ascii="Times New Roman" w:hAnsi="Times New Roman"/>
                <w:b/>
                <w:sz w:val="22"/>
              </w:rPr>
              <w:t>Resultado</w:t>
            </w:r>
          </w:p>
        </w:tc>
        <w:tc>
          <w:tcPr>
            <w:tcW w:type="dxa" w:w="2351"/>
            <w:tcBorders>
              <w:bottom w:val="single" w:sz="8" w:color="000000"/>
            </w:tcBorders>
          </w:tcPr>
          <w:p>
            <w:pPr>
              <w:spacing w:line="240" w:lineRule="auto" w:after="0"/>
            </w:pPr>
            <w:r>
              <w:rPr>
                <w:rFonts w:ascii="Times New Roman" w:hAnsi="Times New Roman"/>
                <w:b/>
                <w:sz w:val="22"/>
              </w:rPr>
              <w:t>Bate a referência?</w:t>
            </w:r>
          </w:p>
        </w:tc>
      </w:tr>
      <w:tr>
        <w:tc>
          <w:tcPr>
            <w:tcW w:type="dxa" w:w="2351"/>
          </w:tcPr>
          <w:p>
            <w:pPr>
              <w:spacing w:line="240" w:lineRule="auto" w:after="0"/>
            </w:pPr>
            <w:r>
              <w:rPr>
                <w:rFonts w:ascii="Times New Roman" w:hAnsi="Times New Roman"/>
                <w:b w:val="0"/>
                <w:sz w:val="22"/>
              </w:rPr>
              <w:t>Halousková e Lyócsa (2025)</w:t>
            </w:r>
          </w:p>
        </w:tc>
        <w:tc>
          <w:tcPr>
            <w:tcW w:type="dxa" w:w="2351"/>
          </w:tcPr>
          <w:p>
            <w:pPr>
              <w:spacing w:line="240" w:lineRule="auto" w:after="0"/>
            </w:pPr>
            <w:r>
              <w:rPr>
                <w:rFonts w:ascii="Times New Roman" w:hAnsi="Times New Roman"/>
                <w:b w:val="0"/>
                <w:sz w:val="22"/>
              </w:rPr>
              <w:t>FinBERT + HAR, 404 ações</w:t>
            </w:r>
          </w:p>
        </w:tc>
        <w:tc>
          <w:tcPr>
            <w:tcW w:type="dxa" w:w="2351"/>
          </w:tcPr>
          <w:p>
            <w:pPr>
              <w:spacing w:line="240" w:lineRule="auto" w:after="0"/>
            </w:pPr>
            <w:r>
              <w:rPr>
                <w:rFonts w:ascii="Times New Roman" w:hAnsi="Times New Roman"/>
                <w:b w:val="0"/>
                <w:sz w:val="22"/>
              </w:rPr>
              <w:t>−12,74% de erro; 14,99% nos dias extremos</w:t>
            </w:r>
          </w:p>
        </w:tc>
        <w:tc>
          <w:tcPr>
            <w:tcW w:type="dxa" w:w="2351"/>
          </w:tcPr>
          <w:p>
            <w:pPr>
              <w:spacing w:line="240" w:lineRule="auto" w:after="0"/>
            </w:pPr>
            <w:r>
              <w:rPr>
                <w:rFonts w:ascii="Times New Roman" w:hAnsi="Times New Roman"/>
                <w:b w:val="0"/>
                <w:sz w:val="22"/>
              </w:rPr>
              <w:t>SIM — 98,76% dos casos</w:t>
            </w:r>
          </w:p>
        </w:tc>
      </w:tr>
      <w:tr>
        <w:tc>
          <w:tcPr>
            <w:tcW w:type="dxa" w:w="2351"/>
          </w:tcPr>
          <w:p>
            <w:pPr>
              <w:spacing w:line="240" w:lineRule="auto" w:after="0"/>
            </w:pPr>
            <w:r>
              <w:rPr>
                <w:rFonts w:ascii="Times New Roman" w:hAnsi="Times New Roman"/>
                <w:b w:val="0"/>
                <w:sz w:val="22"/>
              </w:rPr>
              <w:t>Bodilsen e Lunde (2025)</w:t>
            </w:r>
          </w:p>
        </w:tc>
        <w:tc>
          <w:tcPr>
            <w:tcW w:type="dxa" w:w="2351"/>
          </w:tcPr>
          <w:p>
            <w:pPr>
              <w:spacing w:line="240" w:lineRule="auto" w:after="0"/>
            </w:pPr>
            <w:r>
              <w:rPr>
                <w:rFonts w:ascii="Times New Roman" w:hAnsi="Times New Roman"/>
                <w:b w:val="0"/>
                <w:sz w:val="22"/>
              </w:rPr>
              <w:t>notícias + família HAR</w:t>
            </w:r>
          </w:p>
        </w:tc>
        <w:tc>
          <w:tcPr>
            <w:tcW w:type="dxa" w:w="2351"/>
          </w:tcPr>
          <w:p>
            <w:pPr>
              <w:spacing w:line="240" w:lineRule="auto" w:after="0"/>
            </w:pPr>
            <w:r>
              <w:rPr>
                <w:rFonts w:ascii="Times New Roman" w:hAnsi="Times New Roman"/>
                <w:b w:val="0"/>
                <w:sz w:val="22"/>
              </w:rPr>
              <w:t>notícia macro melhora; da empresa não</w:t>
            </w:r>
          </w:p>
        </w:tc>
        <w:tc>
          <w:tcPr>
            <w:tcW w:type="dxa" w:w="2351"/>
          </w:tcPr>
          <w:p>
            <w:pPr>
              <w:spacing w:line="240" w:lineRule="auto" w:after="0"/>
            </w:pPr>
            <w:r>
              <w:rPr>
                <w:rFonts w:ascii="Times New Roman" w:hAnsi="Times New Roman"/>
                <w:b w:val="0"/>
                <w:sz w:val="22"/>
              </w:rPr>
              <w:t>SIM</w:t>
            </w:r>
          </w:p>
        </w:tc>
      </w:tr>
      <w:tr>
        <w:tc>
          <w:tcPr>
            <w:tcW w:type="dxa" w:w="2351"/>
          </w:tcPr>
          <w:p>
            <w:pPr>
              <w:spacing w:line="240" w:lineRule="auto" w:after="0"/>
            </w:pPr>
            <w:r>
              <w:rPr>
                <w:rFonts w:ascii="Times New Roman" w:hAnsi="Times New Roman"/>
                <w:b w:val="0"/>
                <w:sz w:val="22"/>
              </w:rPr>
              <w:t>Mino e Williamson (2025)</w:t>
            </w:r>
          </w:p>
        </w:tc>
        <w:tc>
          <w:tcPr>
            <w:tcW w:type="dxa" w:w="2351"/>
          </w:tcPr>
          <w:p>
            <w:pPr>
              <w:spacing w:line="240" w:lineRule="auto" w:after="0"/>
            </w:pPr>
            <w:r>
              <w:rPr>
                <w:rFonts w:ascii="Times New Roman" w:hAnsi="Times New Roman"/>
                <w:b w:val="0"/>
                <w:sz w:val="22"/>
              </w:rPr>
              <w:t>BERT + GARCH(1,1)-t</w:t>
            </w:r>
          </w:p>
        </w:tc>
        <w:tc>
          <w:tcPr>
            <w:tcW w:type="dxa" w:w="2351"/>
          </w:tcPr>
          <w:p>
            <w:pPr>
              <w:spacing w:line="240" w:lineRule="auto" w:after="0"/>
            </w:pPr>
            <w:r>
              <w:rPr>
                <w:rFonts w:ascii="Times New Roman" w:hAnsi="Times New Roman"/>
                <w:b w:val="0"/>
                <w:sz w:val="22"/>
              </w:rPr>
              <w:t>coeficiente −0,2275 (p=0,0016)</w:t>
            </w:r>
          </w:p>
        </w:tc>
        <w:tc>
          <w:tcPr>
            <w:tcW w:type="dxa" w:w="2351"/>
          </w:tcPr>
          <w:p>
            <w:pPr>
              <w:spacing w:line="240" w:lineRule="auto" w:after="0"/>
            </w:pPr>
            <w:r>
              <w:rPr>
                <w:rFonts w:ascii="Times New Roman" w:hAnsi="Times New Roman"/>
                <w:b w:val="0"/>
                <w:sz w:val="22"/>
              </w:rPr>
              <w:t>não testaram fora da amostra</w:t>
            </w:r>
          </w:p>
        </w:tc>
      </w:tr>
      <w:tr>
        <w:tc>
          <w:tcPr>
            <w:tcW w:type="dxa" w:w="2351"/>
          </w:tcPr>
          <w:p>
            <w:pPr>
              <w:spacing w:line="240" w:lineRule="auto" w:after="0"/>
            </w:pPr>
            <w:r>
              <w:rPr>
                <w:rFonts w:ascii="Times New Roman" w:hAnsi="Times New Roman"/>
                <w:b w:val="0"/>
                <w:sz w:val="22"/>
              </w:rPr>
              <w:t>Rahimikia e Poon (2021)</w:t>
            </w:r>
          </w:p>
        </w:tc>
        <w:tc>
          <w:tcPr>
            <w:tcW w:type="dxa" w:w="2351"/>
          </w:tcPr>
          <w:p>
            <w:pPr>
              <w:spacing w:line="240" w:lineRule="auto" w:after="0"/>
            </w:pPr>
            <w:r>
              <w:rPr>
                <w:rFonts w:ascii="Times New Roman" w:hAnsi="Times New Roman"/>
                <w:b w:val="0"/>
                <w:sz w:val="22"/>
              </w:rPr>
              <w:t>embeddings, sem sentimento</w:t>
            </w:r>
          </w:p>
        </w:tc>
        <w:tc>
          <w:tcPr>
            <w:tcW w:type="dxa" w:w="2351"/>
          </w:tcPr>
          <w:p>
            <w:pPr>
              <w:spacing w:line="240" w:lineRule="auto" w:after="0"/>
            </w:pPr>
            <w:r>
              <w:rPr>
                <w:rFonts w:ascii="Times New Roman" w:hAnsi="Times New Roman"/>
                <w:b w:val="0"/>
                <w:sz w:val="22"/>
              </w:rPr>
              <w:t>usa a compreensão, não o parecer</w:t>
            </w:r>
          </w:p>
        </w:tc>
        <w:tc>
          <w:tcPr>
            <w:tcW w:type="dxa" w:w="2351"/>
          </w:tcPr>
          <w:p>
            <w:pPr>
              <w:spacing w:line="240" w:lineRule="auto" w:after="0"/>
            </w:pPr>
            <w:r>
              <w:rPr>
                <w:rFonts w:ascii="Times New Roman" w:hAnsi="Times New Roman"/>
                <w:b w:val="0"/>
                <w:sz w:val="22"/>
              </w:rPr>
              <w:t>parcial</w:t>
            </w:r>
          </w:p>
        </w:tc>
      </w:tr>
      <w:tr>
        <w:tc>
          <w:tcPr>
            <w:tcW w:type="dxa" w:w="2351"/>
          </w:tcPr>
          <w:p>
            <w:pPr>
              <w:spacing w:line="240" w:lineRule="auto" w:after="0"/>
            </w:pPr>
            <w:r>
              <w:rPr>
                <w:rFonts w:ascii="Times New Roman" w:hAnsi="Times New Roman"/>
                <w:b w:val="0"/>
                <w:sz w:val="22"/>
              </w:rPr>
              <w:t>Horserace cripto (2024)</w:t>
            </w:r>
          </w:p>
        </w:tc>
        <w:tc>
          <w:tcPr>
            <w:tcW w:type="dxa" w:w="2351"/>
          </w:tcPr>
          <w:p>
            <w:pPr>
              <w:spacing w:line="240" w:lineRule="auto" w:after="0"/>
            </w:pPr>
            <w:r>
              <w:rPr>
                <w:rFonts w:ascii="Times New Roman" w:hAnsi="Times New Roman"/>
                <w:b w:val="0"/>
                <w:sz w:val="22"/>
              </w:rPr>
              <w:t>HAR contra LightGBM e LSTM</w:t>
            </w:r>
          </w:p>
        </w:tc>
        <w:tc>
          <w:tcPr>
            <w:tcW w:type="dxa" w:w="2351"/>
          </w:tcPr>
          <w:p>
            <w:pPr>
              <w:spacing w:line="240" w:lineRule="auto" w:after="0"/>
            </w:pPr>
            <w:r>
              <w:rPr>
                <w:rFonts w:ascii="Times New Roman" w:hAnsi="Times New Roman"/>
                <w:b w:val="0"/>
                <w:sz w:val="22"/>
              </w:rPr>
              <w:t>sentimento só ajuda com modelo flexível</w:t>
            </w:r>
          </w:p>
        </w:tc>
        <w:tc>
          <w:tcPr>
            <w:tcW w:type="dxa" w:w="2351"/>
          </w:tcPr>
          <w:p>
            <w:pPr>
              <w:spacing w:line="240" w:lineRule="auto" w:after="0"/>
            </w:pPr>
            <w:r>
              <w:rPr>
                <w:rFonts w:ascii="Times New Roman" w:hAnsi="Times New Roman"/>
                <w:b w:val="0"/>
                <w:sz w:val="22"/>
              </w:rPr>
              <w:t>só com ML</w:t>
            </w:r>
          </w:p>
        </w:tc>
      </w:tr>
      <w:tr>
        <w:tc>
          <w:tcPr>
            <w:tcW w:type="dxa" w:w="2351"/>
          </w:tcPr>
          <w:p>
            <w:pPr>
              <w:spacing w:line="240" w:lineRule="auto" w:after="0"/>
            </w:pPr>
            <w:r>
              <w:rPr>
                <w:rFonts w:ascii="Times New Roman" w:hAnsi="Times New Roman"/>
                <w:b w:val="0"/>
                <w:sz w:val="22"/>
              </w:rPr>
              <w:t>Silva (2018)</w:t>
            </w:r>
          </w:p>
        </w:tc>
        <w:tc>
          <w:tcPr>
            <w:tcW w:type="dxa" w:w="2351"/>
          </w:tcPr>
          <w:p>
            <w:pPr>
              <w:spacing w:line="240" w:lineRule="auto" w:after="0"/>
            </w:pPr>
            <w:r>
              <w:rPr>
                <w:rFonts w:ascii="Times New Roman" w:hAnsi="Times New Roman"/>
                <w:b w:val="0"/>
                <w:sz w:val="22"/>
              </w:rPr>
              <w:t>sentimento + GARCH + quantílica</w:t>
            </w:r>
          </w:p>
        </w:tc>
        <w:tc>
          <w:tcPr>
            <w:tcW w:type="dxa" w:w="2351"/>
          </w:tcPr>
          <w:p>
            <w:pPr>
              <w:spacing w:line="240" w:lineRule="auto" w:after="0"/>
            </w:pPr>
            <w:r>
              <w:rPr>
                <w:rFonts w:ascii="Times New Roman" w:hAnsi="Times New Roman"/>
                <w:b w:val="0"/>
                <w:sz w:val="22"/>
              </w:rPr>
              <w:t>linear dá R² negativo; quantílica ganha</w:t>
            </w:r>
          </w:p>
        </w:tc>
        <w:tc>
          <w:tcPr>
            <w:tcW w:type="dxa" w:w="2351"/>
          </w:tcPr>
          <w:p>
            <w:pPr>
              <w:spacing w:line="240" w:lineRule="auto" w:after="0"/>
            </w:pPr>
            <w:r>
              <w:rPr>
                <w:rFonts w:ascii="Times New Roman" w:hAnsi="Times New Roman"/>
                <w:b w:val="0"/>
                <w:sz w:val="22"/>
              </w:rPr>
              <w:t>só quantílico</w:t>
            </w:r>
          </w:p>
        </w:tc>
      </w:tr>
      <w:tr>
        <w:tc>
          <w:tcPr>
            <w:tcW w:type="dxa" w:w="2351"/>
          </w:tcPr>
          <w:p>
            <w:pPr>
              <w:spacing w:line="240" w:lineRule="auto" w:after="0"/>
            </w:pPr>
            <w:r>
              <w:rPr>
                <w:rFonts w:ascii="Times New Roman" w:hAnsi="Times New Roman"/>
                <w:b w:val="0"/>
                <w:sz w:val="22"/>
              </w:rPr>
              <w:t>A NOSSA (2026)</w:t>
            </w:r>
          </w:p>
        </w:tc>
        <w:tc>
          <w:tcPr>
            <w:tcW w:type="dxa" w:w="2351"/>
          </w:tcPr>
          <w:p>
            <w:pPr>
              <w:spacing w:line="240" w:lineRule="auto" w:after="0"/>
            </w:pPr>
            <w:r>
              <w:rPr>
                <w:rFonts w:ascii="Times New Roman" w:hAnsi="Times New Roman"/>
                <w:b w:val="0"/>
                <w:sz w:val="22"/>
              </w:rPr>
              <w:t>FinBERT-PT-BR + HAR + GARCH</w:t>
            </w:r>
          </w:p>
        </w:tc>
        <w:tc>
          <w:tcPr>
            <w:tcW w:type="dxa" w:w="2351"/>
          </w:tcPr>
          <w:p>
            <w:pPr>
              <w:spacing w:line="240" w:lineRule="auto" w:after="0"/>
            </w:pPr>
            <w:r>
              <w:rPr>
                <w:rFonts w:ascii="Times New Roman" w:hAnsi="Times New Roman"/>
                <w:b w:val="0"/>
                <w:sz w:val="22"/>
              </w:rPr>
              <w:t>coef. −0,2924 (p=0,0002); melhor: empresa em 22 dias, +1,77%</w:t>
            </w:r>
          </w:p>
        </w:tc>
        <w:tc>
          <w:tcPr>
            <w:tcW w:type="dxa" w:w="2351"/>
          </w:tcPr>
          <w:p>
            <w:pPr>
              <w:spacing w:line="240" w:lineRule="auto" w:after="0"/>
            </w:pPr>
            <w:r>
              <w:rPr>
                <w:rFonts w:ascii="Times New Roman" w:hAnsi="Times New Roman"/>
                <w:b w:val="0"/>
                <w:sz w:val="22"/>
              </w:rPr>
              <w:t>NÃO (p=0,64)</w:t>
            </w:r>
          </w:p>
        </w:tc>
      </w:tr>
    </w:tbl>
    <w:p>
      <w:pPr>
        <w:spacing w:line="240" w:lineRule="auto" w:before="40" w:after="120"/>
        <w:jc w:val="center"/>
      </w:pPr>
      <w:r>
        <w:rPr>
          <w:rFonts w:ascii="Times New Roman" w:hAnsi="Times New Roman"/>
          <w:i w:val="0"/>
          <w:sz w:val="20"/>
        </w:rPr>
        <w:t>Fonte: Elaborado pelo autor (2026).</w:t>
      </w:r>
    </w:p>
    <w:p/>
    <w:p>
      <w:pPr>
        <w:spacing w:line="360" w:lineRule="auto" w:after="120"/>
        <w:ind w:firstLine="709"/>
        <w:jc w:val="both"/>
      </w:pPr>
      <w:r>
        <w:rPr>
          <w:rFonts w:ascii="Times New Roman" w:hAnsi="Times New Roman"/>
          <w:sz w:val="24"/>
        </w:rPr>
      </w:r>
      <w:r>
        <w:rPr>
          <w:rFonts w:ascii="Times New Roman" w:hAnsi="Times New Roman"/>
          <w:b/>
          <w:sz w:val="24"/>
        </w:rPr>
        <w:t>O que dizer:</w:t>
      </w:r>
      <w:r>
        <w:rPr>
          <w:rFonts w:ascii="Times New Roman" w:hAnsi="Times New Roman"/>
          <w:sz w:val="24"/>
        </w:rPr>
        <w:t xml:space="preserve"> “Perco na previsão de volatilidade, e sei exatamente por quê. Halousková e Lyócsa usam 404 ações e medem o sacolejo de 5 em 5 minutos; eu uso uma ação e meço uma vez por dia. Isso é falta de dado, não ausência de sinal — o meu coeficiente é significativo, com magnitude igual à do estudo americano.”</w:t>
      </w:r>
    </w:p>
    <w:p>
      <w:pPr>
        <w:keepNext/>
        <w:spacing w:before="360" w:after="120"/>
      </w:pPr>
      <w:r>
        <w:rPr>
          <w:rFonts w:ascii="Times New Roman" w:hAnsi="Times New Roman"/>
          <w:b/>
          <w:sz w:val="24"/>
        </w:rPr>
        <w:t>3 DIREÇÃO — QUEM TENTA E O QUE CONSEGUIU</w:t>
      </w:r>
    </w:p>
    <w:p>
      <w:pPr>
        <w:spacing w:line="240" w:lineRule="auto" w:before="120" w:after="40"/>
        <w:jc w:val="center"/>
      </w:pPr>
      <w:r>
        <w:rPr>
          <w:rFonts w:ascii="Times New Roman" w:hAnsi="Times New Roman"/>
          <w:sz w:val="20"/>
        </w:rPr>
        <w:t>Tabela 2 – Previsão de direção</w:t>
      </w:r>
    </w:p>
    <w:tbl>
      <w:tblPr>
        <w:tblW w:type="auto" w:w="0"/>
        <w:jc w:val="center"/>
        <w:tblLook w:firstColumn="1" w:firstRow="1" w:lastColumn="0" w:lastRow="0" w:noHBand="0" w:noVBand="1" w:val="04A0"/>
        <w:tblBorders>
          <w:top w:val="single" w:sz="8" w:color="000000"/>
          <w:bottom w:val="single" w:sz="8" w:color="000000"/>
          <w:left w:val="none" w:sz="0"/>
          <w:right w:val="none" w:sz="0"/>
          <w:insideV w:val="none" w:sz="0"/>
        </w:tblBorders>
      </w:tblPr>
      <w:tblGrid>
        <w:gridCol w:w="2351"/>
        <w:gridCol w:w="2351"/>
        <w:gridCol w:w="2351"/>
        <w:gridCol w:w="2351"/>
      </w:tblGrid>
      <w:tr>
        <w:tc>
          <w:tcPr>
            <w:tcW w:type="dxa" w:w="2351"/>
            <w:tcBorders>
              <w:bottom w:val="single" w:sz="8" w:color="000000"/>
            </w:tcBorders>
          </w:tcPr>
          <w:p>
            <w:pPr>
              <w:spacing w:line="240" w:lineRule="auto" w:after="0"/>
            </w:pPr>
            <w:r>
              <w:rPr>
                <w:rFonts w:ascii="Times New Roman" w:hAnsi="Times New Roman"/>
                <w:b/>
                <w:sz w:val="22"/>
              </w:rPr>
              <w:t>Pesquisa</w:t>
            </w:r>
          </w:p>
        </w:tc>
        <w:tc>
          <w:tcPr>
            <w:tcW w:type="dxa" w:w="2351"/>
            <w:tcBorders>
              <w:bottom w:val="single" w:sz="8" w:color="000000"/>
            </w:tcBorders>
          </w:tcPr>
          <w:p>
            <w:pPr>
              <w:spacing w:line="240" w:lineRule="auto" w:after="0"/>
            </w:pPr>
            <w:r>
              <w:rPr>
                <w:rFonts w:ascii="Times New Roman" w:hAnsi="Times New Roman"/>
                <w:b/>
                <w:sz w:val="22"/>
              </w:rPr>
              <w:t>Ferramenta</w:t>
            </w:r>
          </w:p>
        </w:tc>
        <w:tc>
          <w:tcPr>
            <w:tcW w:type="dxa" w:w="2351"/>
            <w:tcBorders>
              <w:bottom w:val="single" w:sz="8" w:color="000000"/>
            </w:tcBorders>
          </w:tcPr>
          <w:p>
            <w:pPr>
              <w:spacing w:line="240" w:lineRule="auto" w:after="0"/>
            </w:pPr>
            <w:r>
              <w:rPr>
                <w:rFonts w:ascii="Times New Roman" w:hAnsi="Times New Roman"/>
                <w:b/>
                <w:sz w:val="22"/>
              </w:rPr>
              <w:t>Número anunciado</w:t>
            </w:r>
          </w:p>
        </w:tc>
        <w:tc>
          <w:tcPr>
            <w:tcW w:type="dxa" w:w="2351"/>
            <w:tcBorders>
              <w:bottom w:val="single" w:sz="8" w:color="000000"/>
            </w:tcBorders>
          </w:tcPr>
          <w:p>
            <w:pPr>
              <w:spacing w:line="240" w:lineRule="auto" w:after="0"/>
            </w:pPr>
            <w:r>
              <w:rPr>
                <w:rFonts w:ascii="Times New Roman" w:hAnsi="Times New Roman"/>
                <w:b/>
                <w:sz w:val="22"/>
              </w:rPr>
              <w:t>O que o número realmente é</w:t>
            </w:r>
          </w:p>
        </w:tc>
      </w:tr>
      <w:tr>
        <w:tc>
          <w:tcPr>
            <w:tcW w:type="dxa" w:w="2351"/>
          </w:tcPr>
          <w:p>
            <w:pPr>
              <w:spacing w:line="240" w:lineRule="auto" w:after="0"/>
            </w:pPr>
            <w:r>
              <w:rPr>
                <w:rFonts w:ascii="Times New Roman" w:hAnsi="Times New Roman"/>
                <w:b w:val="0"/>
                <w:sz w:val="22"/>
              </w:rPr>
              <w:t>Bollen et al. (2011)</w:t>
            </w:r>
          </w:p>
        </w:tc>
        <w:tc>
          <w:tcPr>
            <w:tcW w:type="dxa" w:w="2351"/>
          </w:tcPr>
          <w:p>
            <w:pPr>
              <w:spacing w:line="240" w:lineRule="auto" w:after="0"/>
            </w:pPr>
            <w:r>
              <w:rPr>
                <w:rFonts w:ascii="Times New Roman" w:hAnsi="Times New Roman"/>
                <w:b w:val="0"/>
                <w:sz w:val="22"/>
              </w:rPr>
              <w:t>dicionários de humor</w:t>
            </w:r>
          </w:p>
        </w:tc>
        <w:tc>
          <w:tcPr>
            <w:tcW w:type="dxa" w:w="2351"/>
          </w:tcPr>
          <w:p>
            <w:pPr>
              <w:spacing w:line="240" w:lineRule="auto" w:after="0"/>
            </w:pPr>
            <w:r>
              <w:rPr>
                <w:rFonts w:ascii="Times New Roman" w:hAnsi="Times New Roman"/>
                <w:b w:val="0"/>
                <w:sz w:val="22"/>
              </w:rPr>
              <w:t>86,7%</w:t>
            </w:r>
          </w:p>
        </w:tc>
        <w:tc>
          <w:tcPr>
            <w:tcW w:type="dxa" w:w="2351"/>
          </w:tcPr>
          <w:p>
            <w:pPr>
              <w:spacing w:line="240" w:lineRule="auto" w:after="0"/>
            </w:pPr>
            <w:r>
              <w:rPr>
                <w:rFonts w:ascii="Times New Roman" w:hAnsi="Times New Roman"/>
                <w:b w:val="0"/>
                <w:sz w:val="22"/>
              </w:rPr>
              <w:t>13 acertos em 15 pregões — REFUTADO em 2017</w:t>
            </w:r>
          </w:p>
        </w:tc>
      </w:tr>
      <w:tr>
        <w:tc>
          <w:tcPr>
            <w:tcW w:type="dxa" w:w="2351"/>
          </w:tcPr>
          <w:p>
            <w:pPr>
              <w:spacing w:line="240" w:lineRule="auto" w:after="0"/>
            </w:pPr>
            <w:r>
              <w:rPr>
                <w:rFonts w:ascii="Times New Roman" w:hAnsi="Times New Roman"/>
                <w:b w:val="0"/>
                <w:sz w:val="22"/>
              </w:rPr>
              <w:t>Schumaker e Chen (2009)</w:t>
            </w:r>
          </w:p>
        </w:tc>
        <w:tc>
          <w:tcPr>
            <w:tcW w:type="dxa" w:w="2351"/>
          </w:tcPr>
          <w:p>
            <w:pPr>
              <w:spacing w:line="240" w:lineRule="auto" w:after="0"/>
            </w:pPr>
            <w:r>
              <w:rPr>
                <w:rFonts w:ascii="Times New Roman" w:hAnsi="Times New Roman"/>
                <w:b w:val="0"/>
                <w:sz w:val="22"/>
              </w:rPr>
              <w:t>saco de palavras + SVM</w:t>
            </w:r>
          </w:p>
        </w:tc>
        <w:tc>
          <w:tcPr>
            <w:tcW w:type="dxa" w:w="2351"/>
          </w:tcPr>
          <w:p>
            <w:pPr>
              <w:spacing w:line="240" w:lineRule="auto" w:after="0"/>
            </w:pPr>
            <w:r>
              <w:rPr>
                <w:rFonts w:ascii="Times New Roman" w:hAnsi="Times New Roman"/>
                <w:b w:val="0"/>
                <w:sz w:val="22"/>
              </w:rPr>
              <w:t>71,2%</w:t>
            </w:r>
          </w:p>
        </w:tc>
        <w:tc>
          <w:tcPr>
            <w:tcW w:type="dxa" w:w="2351"/>
          </w:tcPr>
          <w:p>
            <w:pPr>
              <w:spacing w:line="240" w:lineRule="auto" w:after="0"/>
            </w:pPr>
            <w:r>
              <w:rPr>
                <w:rFonts w:ascii="Times New Roman" w:hAnsi="Times New Roman"/>
                <w:b w:val="0"/>
                <w:sz w:val="22"/>
              </w:rPr>
              <w:t>preço 20 MINUTOS depois; melhor entre esquemas</w:t>
            </w:r>
          </w:p>
        </w:tc>
      </w:tr>
      <w:tr>
        <w:tc>
          <w:tcPr>
            <w:tcW w:type="dxa" w:w="2351"/>
          </w:tcPr>
          <w:p>
            <w:pPr>
              <w:spacing w:line="240" w:lineRule="auto" w:after="0"/>
            </w:pPr>
            <w:r>
              <w:rPr>
                <w:rFonts w:ascii="Times New Roman" w:hAnsi="Times New Roman"/>
                <w:b w:val="0"/>
                <w:sz w:val="22"/>
              </w:rPr>
              <w:t>Barak et al. (2017)</w:t>
            </w:r>
          </w:p>
        </w:tc>
        <w:tc>
          <w:tcPr>
            <w:tcW w:type="dxa" w:w="2351"/>
          </w:tcPr>
          <w:p>
            <w:pPr>
              <w:spacing w:line="240" w:lineRule="auto" w:after="0"/>
            </w:pPr>
            <w:r>
              <w:rPr>
                <w:rFonts w:ascii="Times New Roman" w:hAnsi="Times New Roman"/>
                <w:b w:val="0"/>
                <w:sz w:val="22"/>
              </w:rPr>
              <w:t>ensembles</w:t>
            </w:r>
          </w:p>
        </w:tc>
        <w:tc>
          <w:tcPr>
            <w:tcW w:type="dxa" w:w="2351"/>
          </w:tcPr>
          <w:p>
            <w:pPr>
              <w:spacing w:line="240" w:lineRule="auto" w:after="0"/>
            </w:pPr>
            <w:r>
              <w:rPr>
                <w:rFonts w:ascii="Times New Roman" w:hAnsi="Times New Roman"/>
                <w:b w:val="0"/>
                <w:sz w:val="22"/>
              </w:rPr>
              <w:t>83,6%</w:t>
            </w:r>
          </w:p>
        </w:tc>
        <w:tc>
          <w:tcPr>
            <w:tcW w:type="dxa" w:w="2351"/>
          </w:tcPr>
          <w:p>
            <w:pPr>
              <w:spacing w:line="240" w:lineRule="auto" w:after="0"/>
            </w:pPr>
            <w:r>
              <w:rPr>
                <w:rFonts w:ascii="Times New Roman" w:hAnsi="Times New Roman"/>
                <w:b w:val="0"/>
                <w:sz w:val="22"/>
              </w:rPr>
              <w:t>Teerã, outra tarefa; já replicado: deu 53,14%</w:t>
            </w:r>
          </w:p>
        </w:tc>
      </w:tr>
      <w:tr>
        <w:tc>
          <w:tcPr>
            <w:tcW w:type="dxa" w:w="2351"/>
          </w:tcPr>
          <w:p>
            <w:pPr>
              <w:spacing w:line="240" w:lineRule="auto" w:after="0"/>
            </w:pPr>
            <w:r>
              <w:rPr>
                <w:rFonts w:ascii="Times New Roman" w:hAnsi="Times New Roman"/>
                <w:b w:val="0"/>
                <w:sz w:val="22"/>
              </w:rPr>
              <w:t>FinBERT-LSTM (2022–24)</w:t>
            </w:r>
          </w:p>
        </w:tc>
        <w:tc>
          <w:tcPr>
            <w:tcW w:type="dxa" w:w="2351"/>
          </w:tcPr>
          <w:p>
            <w:pPr>
              <w:spacing w:line="240" w:lineRule="auto" w:after="0"/>
            </w:pPr>
            <w:r>
              <w:rPr>
                <w:rFonts w:ascii="Times New Roman" w:hAnsi="Times New Roman"/>
                <w:b w:val="0"/>
                <w:sz w:val="22"/>
              </w:rPr>
              <w:t>FinBERT + LSTM</w:t>
            </w:r>
          </w:p>
        </w:tc>
        <w:tc>
          <w:tcPr>
            <w:tcW w:type="dxa" w:w="2351"/>
          </w:tcPr>
          <w:p>
            <w:pPr>
              <w:spacing w:line="240" w:lineRule="auto" w:after="0"/>
            </w:pPr>
            <w:r>
              <w:rPr>
                <w:rFonts w:ascii="Times New Roman" w:hAnsi="Times New Roman"/>
                <w:b w:val="0"/>
                <w:sz w:val="22"/>
              </w:rPr>
              <w:t>0,955</w:t>
            </w:r>
          </w:p>
        </w:tc>
        <w:tc>
          <w:tcPr>
            <w:tcW w:type="dxa" w:w="2351"/>
          </w:tcPr>
          <w:p>
            <w:pPr>
              <w:spacing w:line="240" w:lineRule="auto" w:after="0"/>
            </w:pPr>
            <w:r>
              <w:rPr>
                <w:rFonts w:ascii="Times New Roman" w:hAnsi="Times New Roman"/>
                <w:b w:val="0"/>
                <w:sz w:val="22"/>
              </w:rPr>
              <w:t>é 1 − MAPE: prevê o NÍVEL do preço, não a direção</w:t>
            </w:r>
          </w:p>
        </w:tc>
      </w:tr>
      <w:tr>
        <w:tc>
          <w:tcPr>
            <w:tcW w:type="dxa" w:w="2351"/>
          </w:tcPr>
          <w:p>
            <w:pPr>
              <w:spacing w:line="240" w:lineRule="auto" w:after="0"/>
            </w:pPr>
            <w:r>
              <w:rPr>
                <w:rFonts w:ascii="Times New Roman" w:hAnsi="Times New Roman"/>
                <w:b w:val="0"/>
                <w:sz w:val="22"/>
              </w:rPr>
              <w:t>Nguyen et al. (2015)</w:t>
            </w:r>
          </w:p>
        </w:tc>
        <w:tc>
          <w:tcPr>
            <w:tcW w:type="dxa" w:w="2351"/>
          </w:tcPr>
          <w:p>
            <w:pPr>
              <w:spacing w:line="240" w:lineRule="auto" w:after="0"/>
            </w:pPr>
            <w:r>
              <w:rPr>
                <w:rFonts w:ascii="Times New Roman" w:hAnsi="Times New Roman"/>
                <w:b w:val="0"/>
                <w:sz w:val="22"/>
              </w:rPr>
              <w:t>sentimento por tópico</w:t>
            </w:r>
          </w:p>
        </w:tc>
        <w:tc>
          <w:tcPr>
            <w:tcW w:type="dxa" w:w="2351"/>
          </w:tcPr>
          <w:p>
            <w:pPr>
              <w:spacing w:line="240" w:lineRule="auto" w:after="0"/>
            </w:pPr>
            <w:r>
              <w:rPr>
                <w:rFonts w:ascii="Times New Roman" w:hAnsi="Times New Roman"/>
                <w:b w:val="0"/>
                <w:sz w:val="22"/>
              </w:rPr>
              <w:t>ganho de 2 a 10 p.p.</w:t>
            </w:r>
          </w:p>
        </w:tc>
        <w:tc>
          <w:tcPr>
            <w:tcW w:type="dxa" w:w="2351"/>
          </w:tcPr>
          <w:p>
            <w:pPr>
              <w:spacing w:line="240" w:lineRule="auto" w:after="0"/>
            </w:pPr>
            <w:r>
              <w:rPr>
                <w:rFonts w:ascii="Times New Roman" w:hAnsi="Times New Roman"/>
                <w:b w:val="0"/>
                <w:sz w:val="22"/>
              </w:rPr>
              <w:t>ganho sobre só-preços — comparação válida</w:t>
            </w:r>
          </w:p>
        </w:tc>
      </w:tr>
      <w:tr>
        <w:tc>
          <w:tcPr>
            <w:tcW w:type="dxa" w:w="2351"/>
          </w:tcPr>
          <w:p>
            <w:pPr>
              <w:spacing w:line="240" w:lineRule="auto" w:after="0"/>
            </w:pPr>
            <w:r>
              <w:rPr>
                <w:rFonts w:ascii="Times New Roman" w:hAnsi="Times New Roman"/>
                <w:b w:val="0"/>
                <w:sz w:val="22"/>
              </w:rPr>
              <w:t>Li et al. (2020)</w:t>
            </w:r>
          </w:p>
        </w:tc>
        <w:tc>
          <w:tcPr>
            <w:tcW w:type="dxa" w:w="2351"/>
          </w:tcPr>
          <w:p>
            <w:pPr>
              <w:spacing w:line="240" w:lineRule="auto" w:after="0"/>
            </w:pPr>
            <w:r>
              <w:rPr>
                <w:rFonts w:ascii="Times New Roman" w:hAnsi="Times New Roman"/>
                <w:b w:val="0"/>
                <w:sz w:val="22"/>
              </w:rPr>
              <w:t>fusão profunda</w:t>
            </w:r>
          </w:p>
        </w:tc>
        <w:tc>
          <w:tcPr>
            <w:tcW w:type="dxa" w:w="2351"/>
          </w:tcPr>
          <w:p>
            <w:pPr>
              <w:spacing w:line="240" w:lineRule="auto" w:after="0"/>
            </w:pPr>
            <w:r>
              <w:rPr>
                <w:rFonts w:ascii="Times New Roman" w:hAnsi="Times New Roman"/>
                <w:b w:val="0"/>
                <w:sz w:val="22"/>
              </w:rPr>
              <w:t>supera as bases</w:t>
            </w:r>
          </w:p>
        </w:tc>
        <w:tc>
          <w:tcPr>
            <w:tcW w:type="dxa" w:w="2351"/>
          </w:tcPr>
          <w:p>
            <w:pPr>
              <w:spacing w:line="240" w:lineRule="auto" w:after="0"/>
            </w:pPr>
            <w:r>
              <w:rPr>
                <w:rFonts w:ascii="Times New Roman" w:hAnsi="Times New Roman"/>
                <w:b w:val="0"/>
                <w:sz w:val="22"/>
              </w:rPr>
              <w:t>corrobora a nossa arquitetura</w:t>
            </w:r>
          </w:p>
        </w:tc>
      </w:tr>
      <w:tr>
        <w:tc>
          <w:tcPr>
            <w:tcW w:type="dxa" w:w="2351"/>
          </w:tcPr>
          <w:p>
            <w:pPr>
              <w:spacing w:line="240" w:lineRule="auto" w:after="0"/>
            </w:pPr>
            <w:r>
              <w:rPr>
                <w:rFonts w:ascii="Times New Roman" w:hAnsi="Times New Roman"/>
                <w:b w:val="0"/>
                <w:sz w:val="22"/>
              </w:rPr>
              <w:t>FinBERT + SHAP (2025)</w:t>
            </w:r>
          </w:p>
        </w:tc>
        <w:tc>
          <w:tcPr>
            <w:tcW w:type="dxa" w:w="2351"/>
          </w:tcPr>
          <w:p>
            <w:pPr>
              <w:spacing w:line="240" w:lineRule="auto" w:after="0"/>
            </w:pPr>
            <w:r>
              <w:rPr>
                <w:rFonts w:ascii="Times New Roman" w:hAnsi="Times New Roman"/>
                <w:b w:val="0"/>
                <w:sz w:val="22"/>
              </w:rPr>
              <w:t>FinBERT + árvores</w:t>
            </w:r>
          </w:p>
        </w:tc>
        <w:tc>
          <w:tcPr>
            <w:tcW w:type="dxa" w:w="2351"/>
          </w:tcPr>
          <w:p>
            <w:pPr>
              <w:spacing w:line="240" w:lineRule="auto" w:after="0"/>
            </w:pPr>
            <w:r>
              <w:rPr>
                <w:rFonts w:ascii="Times New Roman" w:hAnsi="Times New Roman"/>
                <w:b w:val="0"/>
                <w:sz w:val="22"/>
              </w:rPr>
              <w:t>supera bases técnicas</w:t>
            </w:r>
          </w:p>
        </w:tc>
        <w:tc>
          <w:tcPr>
            <w:tcW w:type="dxa" w:w="2351"/>
          </w:tcPr>
          <w:p>
            <w:pPr>
              <w:spacing w:line="240" w:lineRule="auto" w:after="0"/>
            </w:pPr>
            <w:r>
              <w:rPr>
                <w:rFonts w:ascii="Times New Roman" w:hAnsi="Times New Roman"/>
                <w:b w:val="0"/>
                <w:sz w:val="22"/>
              </w:rPr>
              <w:t>desenho próximo ao nosso</w:t>
            </w:r>
          </w:p>
        </w:tc>
      </w:tr>
      <w:tr>
        <w:tc>
          <w:tcPr>
            <w:tcW w:type="dxa" w:w="2351"/>
          </w:tcPr>
          <w:p>
            <w:pPr>
              <w:spacing w:line="240" w:lineRule="auto" w:after="0"/>
            </w:pPr>
            <w:r>
              <w:rPr>
                <w:rFonts w:ascii="Times New Roman" w:hAnsi="Times New Roman"/>
                <w:b w:val="0"/>
                <w:sz w:val="22"/>
              </w:rPr>
              <w:t>A NOSSA (2026)</w:t>
            </w:r>
          </w:p>
        </w:tc>
        <w:tc>
          <w:tcPr>
            <w:tcW w:type="dxa" w:w="2351"/>
          </w:tcPr>
          <w:p>
            <w:pPr>
              <w:spacing w:line="240" w:lineRule="auto" w:after="0"/>
            </w:pPr>
            <w:r>
              <w:rPr>
                <w:rFonts w:ascii="Times New Roman" w:hAnsi="Times New Roman"/>
                <w:b w:val="0"/>
                <w:sz w:val="22"/>
              </w:rPr>
              <w:t>FinBERT-PT-BR + XGBoost</w:t>
            </w:r>
          </w:p>
        </w:tc>
        <w:tc>
          <w:tcPr>
            <w:tcW w:type="dxa" w:w="2351"/>
          </w:tcPr>
          <w:p>
            <w:pPr>
              <w:spacing w:line="240" w:lineRule="auto" w:after="0"/>
            </w:pPr>
            <w:r>
              <w:rPr>
                <w:rFonts w:ascii="Times New Roman" w:hAnsi="Times New Roman"/>
                <w:b w:val="0"/>
                <w:sz w:val="22"/>
              </w:rPr>
              <w:t>54,5%</w:t>
            </w:r>
          </w:p>
        </w:tc>
        <w:tc>
          <w:tcPr>
            <w:tcW w:type="dxa" w:w="2351"/>
          </w:tcPr>
          <w:p>
            <w:pPr>
              <w:spacing w:line="240" w:lineRule="auto" w:after="0"/>
            </w:pPr>
            <w:r>
              <w:rPr>
                <w:rFonts w:ascii="Times New Roman" w:hAnsi="Times New Roman"/>
                <w:b w:val="0"/>
                <w:sz w:val="22"/>
              </w:rPr>
              <w:t>ganho de 4,4 p.p. sobre só-preços (p=0,012)</w:t>
            </w:r>
          </w:p>
        </w:tc>
      </w:tr>
    </w:tbl>
    <w:p>
      <w:pPr>
        <w:spacing w:line="240" w:lineRule="auto" w:before="40" w:after="120"/>
        <w:jc w:val="center"/>
      </w:pPr>
      <w:r>
        <w:rPr>
          <w:rFonts w:ascii="Times New Roman" w:hAnsi="Times New Roman"/>
          <w:i w:val="0"/>
          <w:sz w:val="20"/>
        </w:rPr>
        <w:t>Fonte: Elaborado pelo autor (2026).</w:t>
      </w:r>
    </w:p>
    <w:p/>
    <w:p>
      <w:pPr>
        <w:spacing w:line="360" w:lineRule="auto" w:after="120"/>
        <w:ind w:firstLine="709"/>
        <w:jc w:val="both"/>
      </w:pPr>
      <w:r>
        <w:rPr>
          <w:rFonts w:ascii="Times New Roman" w:hAnsi="Times New Roman"/>
          <w:sz w:val="24"/>
        </w:rPr>
      </w:r>
      <w:r>
        <w:rPr>
          <w:rFonts w:ascii="Times New Roman" w:hAnsi="Times New Roman"/>
          <w:b/>
          <w:sz w:val="24"/>
        </w:rPr>
        <w:t>O que dizer:</w:t>
      </w:r>
      <w:r>
        <w:rPr>
          <w:rFonts w:ascii="Times New Roman" w:hAnsi="Times New Roman"/>
          <w:sz w:val="24"/>
        </w:rPr>
        <w:t xml:space="preserve"> “Na direção, ninguém acerta de verdade. O número mais citado da área são treze acertos em quinze dias, e foi refutado. Os outros medem coisas diferentes: reação em vinte minutos, ou o nível do preço, que é trivial de prever. A comparação honesta é o ganho sobre um modelo só de preços — e nisso eu estou dentro da faixa da literatura.”</w:t>
      </w:r>
    </w:p>
    <w:p>
      <w:pPr>
        <w:keepNext/>
        <w:spacing w:before="360" w:after="120"/>
      </w:pPr>
      <w:r>
        <w:rPr>
          <w:rFonts w:ascii="Times New Roman" w:hAnsi="Times New Roman"/>
          <w:b/>
          <w:sz w:val="24"/>
        </w:rPr>
        <w:t>4 OS ENCODERS — TODOS USAM A MESMA COISA</w:t>
      </w:r>
    </w:p>
    <w:p>
      <w:pPr>
        <w:spacing w:line="240" w:lineRule="auto" w:before="120" w:after="40"/>
        <w:jc w:val="center"/>
      </w:pPr>
      <w:r>
        <w:rPr>
          <w:rFonts w:ascii="Times New Roman" w:hAnsi="Times New Roman"/>
          <w:sz w:val="20"/>
        </w:rPr>
        <w:t>Tabela 3 – Que ferramenta cada um usa para ler</w:t>
      </w:r>
    </w:p>
    <w:tbl>
      <w:tblPr>
        <w:tblW w:type="auto" w:w="0"/>
        <w:jc w:val="center"/>
        <w:tblLook w:firstColumn="1" w:firstRow="1" w:lastColumn="0" w:lastRow="0" w:noHBand="0" w:noVBand="1" w:val="04A0"/>
        <w:tblBorders>
          <w:top w:val="single" w:sz="8" w:color="000000"/>
          <w:bottom w:val="single" w:sz="8" w:color="000000"/>
          <w:left w:val="none" w:sz="0"/>
          <w:right w:val="none" w:sz="0"/>
          <w:insideV w:val="none" w:sz="0"/>
        </w:tblBorders>
      </w:tblPr>
      <w:tblGrid>
        <w:gridCol w:w="3135"/>
        <w:gridCol w:w="3135"/>
        <w:gridCol w:w="3135"/>
      </w:tblGrid>
      <w:tr>
        <w:tc>
          <w:tcPr>
            <w:tcW w:type="dxa" w:w="3135"/>
            <w:tcBorders>
              <w:bottom w:val="single" w:sz="8" w:color="000000"/>
            </w:tcBorders>
          </w:tcPr>
          <w:p>
            <w:pPr>
              <w:spacing w:line="240" w:lineRule="auto" w:after="0"/>
            </w:pPr>
            <w:r>
              <w:rPr>
                <w:rFonts w:ascii="Times New Roman" w:hAnsi="Times New Roman"/>
                <w:b/>
                <w:sz w:val="22"/>
              </w:rPr>
              <w:t>Geração</w:t>
            </w:r>
          </w:p>
        </w:tc>
        <w:tc>
          <w:tcPr>
            <w:tcW w:type="dxa" w:w="3135"/>
            <w:tcBorders>
              <w:bottom w:val="single" w:sz="8" w:color="000000"/>
            </w:tcBorders>
          </w:tcPr>
          <w:p>
            <w:pPr>
              <w:spacing w:line="240" w:lineRule="auto" w:after="0"/>
            </w:pPr>
            <w:r>
              <w:rPr>
                <w:rFonts w:ascii="Times New Roman" w:hAnsi="Times New Roman"/>
                <w:b/>
                <w:sz w:val="22"/>
              </w:rPr>
              <w:t>Ferramenta</w:t>
            </w:r>
          </w:p>
        </w:tc>
        <w:tc>
          <w:tcPr>
            <w:tcW w:type="dxa" w:w="3135"/>
            <w:tcBorders>
              <w:bottom w:val="single" w:sz="8" w:color="000000"/>
            </w:tcBorders>
          </w:tcPr>
          <w:p>
            <w:pPr>
              <w:spacing w:line="240" w:lineRule="auto" w:after="0"/>
            </w:pPr>
            <w:r>
              <w:rPr>
                <w:rFonts w:ascii="Times New Roman" w:hAnsi="Times New Roman"/>
                <w:b/>
                <w:sz w:val="22"/>
              </w:rPr>
              <w:t>Quem usa</w:t>
            </w:r>
          </w:p>
        </w:tc>
      </w:tr>
      <w:tr>
        <w:tc>
          <w:tcPr>
            <w:tcW w:type="dxa" w:w="3135"/>
          </w:tcPr>
          <w:p>
            <w:pPr>
              <w:spacing w:line="240" w:lineRule="auto" w:after="0"/>
            </w:pPr>
            <w:r>
              <w:rPr>
                <w:rFonts w:ascii="Times New Roman" w:hAnsi="Times New Roman"/>
                <w:b w:val="0"/>
                <w:sz w:val="22"/>
              </w:rPr>
              <w:t>Dicionário (2009–2011)</w:t>
            </w:r>
          </w:p>
        </w:tc>
        <w:tc>
          <w:tcPr>
            <w:tcW w:type="dxa" w:w="3135"/>
          </w:tcPr>
          <w:p>
            <w:pPr>
              <w:spacing w:line="240" w:lineRule="auto" w:after="0"/>
            </w:pPr>
            <w:r>
              <w:rPr>
                <w:rFonts w:ascii="Times New Roman" w:hAnsi="Times New Roman"/>
                <w:b w:val="0"/>
                <w:sz w:val="22"/>
              </w:rPr>
              <w:t>OpinionFinder, GPOMS, saco de palavras</w:t>
            </w:r>
          </w:p>
        </w:tc>
        <w:tc>
          <w:tcPr>
            <w:tcW w:type="dxa" w:w="3135"/>
          </w:tcPr>
          <w:p>
            <w:pPr>
              <w:spacing w:line="240" w:lineRule="auto" w:after="0"/>
            </w:pPr>
            <w:r>
              <w:rPr>
                <w:rFonts w:ascii="Times New Roman" w:hAnsi="Times New Roman"/>
                <w:b w:val="0"/>
                <w:sz w:val="22"/>
              </w:rPr>
              <w:t>Bollen, Schumaker</w:t>
            </w:r>
          </w:p>
        </w:tc>
      </w:tr>
      <w:tr>
        <w:tc>
          <w:tcPr>
            <w:tcW w:type="dxa" w:w="3135"/>
          </w:tcPr>
          <w:p>
            <w:pPr>
              <w:spacing w:line="240" w:lineRule="auto" w:after="0"/>
            </w:pPr>
            <w:r>
              <w:rPr>
                <w:rFonts w:ascii="Times New Roman" w:hAnsi="Times New Roman"/>
                <w:b w:val="0"/>
                <w:sz w:val="22"/>
              </w:rPr>
              <w:t>Aprendizado clássico (2015–2017)</w:t>
            </w:r>
          </w:p>
        </w:tc>
        <w:tc>
          <w:tcPr>
            <w:tcW w:type="dxa" w:w="3135"/>
          </w:tcPr>
          <w:p>
            <w:pPr>
              <w:spacing w:line="240" w:lineRule="auto" w:after="0"/>
            </w:pPr>
            <w:r>
              <w:rPr>
                <w:rFonts w:ascii="Times New Roman" w:hAnsi="Times New Roman"/>
                <w:b w:val="0"/>
                <w:sz w:val="22"/>
              </w:rPr>
              <w:t>TSLDA, ensembles</w:t>
            </w:r>
          </w:p>
        </w:tc>
        <w:tc>
          <w:tcPr>
            <w:tcW w:type="dxa" w:w="3135"/>
          </w:tcPr>
          <w:p>
            <w:pPr>
              <w:spacing w:line="240" w:lineRule="auto" w:after="0"/>
            </w:pPr>
            <w:r>
              <w:rPr>
                <w:rFonts w:ascii="Times New Roman" w:hAnsi="Times New Roman"/>
                <w:b w:val="0"/>
                <w:sz w:val="22"/>
              </w:rPr>
              <w:t>Nguyen, Barak</w:t>
            </w:r>
          </w:p>
        </w:tc>
      </w:tr>
      <w:tr>
        <w:tc>
          <w:tcPr>
            <w:tcW w:type="dxa" w:w="3135"/>
          </w:tcPr>
          <w:p>
            <w:pPr>
              <w:spacing w:line="240" w:lineRule="auto" w:after="0"/>
            </w:pPr>
            <w:r>
              <w:rPr>
                <w:rFonts w:ascii="Times New Roman" w:hAnsi="Times New Roman"/>
                <w:b w:val="0"/>
                <w:sz w:val="22"/>
              </w:rPr>
              <w:t>Transformers (2020–2025)</w:t>
            </w:r>
          </w:p>
        </w:tc>
        <w:tc>
          <w:tcPr>
            <w:tcW w:type="dxa" w:w="3135"/>
          </w:tcPr>
          <w:p>
            <w:pPr>
              <w:spacing w:line="240" w:lineRule="auto" w:after="0"/>
            </w:pPr>
            <w:r>
              <w:rPr>
                <w:rFonts w:ascii="Times New Roman" w:hAnsi="Times New Roman"/>
                <w:b w:val="0"/>
                <w:sz w:val="22"/>
              </w:rPr>
              <w:t>FinBERT e variantes</w:t>
            </w:r>
          </w:p>
        </w:tc>
        <w:tc>
          <w:tcPr>
            <w:tcW w:type="dxa" w:w="3135"/>
          </w:tcPr>
          <w:p>
            <w:pPr>
              <w:spacing w:line="240" w:lineRule="auto" w:after="0"/>
            </w:pPr>
            <w:r>
              <w:rPr>
                <w:rFonts w:ascii="Times New Roman" w:hAnsi="Times New Roman"/>
                <w:b w:val="0"/>
                <w:sz w:val="22"/>
              </w:rPr>
              <w:t>Halousková, Mino, Hashamia, FinBERT-LSTM, FinBERT+SHAP</w:t>
            </w:r>
          </w:p>
        </w:tc>
      </w:tr>
      <w:tr>
        <w:tc>
          <w:tcPr>
            <w:tcW w:type="dxa" w:w="3135"/>
          </w:tcPr>
          <w:p>
            <w:pPr>
              <w:spacing w:line="240" w:lineRule="auto" w:after="0"/>
            </w:pPr>
            <w:r>
              <w:rPr>
                <w:rFonts w:ascii="Times New Roman" w:hAnsi="Times New Roman"/>
                <w:b w:val="0"/>
                <w:sz w:val="22"/>
              </w:rPr>
              <w:t>Especializados (2023–2025)</w:t>
            </w:r>
          </w:p>
        </w:tc>
        <w:tc>
          <w:tcPr>
            <w:tcW w:type="dxa" w:w="3135"/>
          </w:tcPr>
          <w:p>
            <w:pPr>
              <w:spacing w:line="240" w:lineRule="auto" w:after="0"/>
            </w:pPr>
            <w:r>
              <w:rPr>
                <w:rFonts w:ascii="Times New Roman" w:hAnsi="Times New Roman"/>
                <w:b w:val="0"/>
                <w:sz w:val="22"/>
              </w:rPr>
              <w:t>CrudeBERT (petróleo), FinBERT-PT-BR</w:t>
            </w:r>
          </w:p>
        </w:tc>
        <w:tc>
          <w:tcPr>
            <w:tcW w:type="dxa" w:w="3135"/>
          </w:tcPr>
          <w:p>
            <w:pPr>
              <w:spacing w:line="240" w:lineRule="auto" w:after="0"/>
            </w:pPr>
            <w:r>
              <w:rPr>
                <w:rFonts w:ascii="Times New Roman" w:hAnsi="Times New Roman"/>
                <w:b w:val="0"/>
                <w:sz w:val="22"/>
              </w:rPr>
              <w:t>Hashamia; A NOSSA</w:t>
            </w:r>
          </w:p>
        </w:tc>
      </w:tr>
      <w:tr>
        <w:tc>
          <w:tcPr>
            <w:tcW w:type="dxa" w:w="3135"/>
          </w:tcPr>
          <w:p>
            <w:pPr>
              <w:spacing w:line="240" w:lineRule="auto" w:after="0"/>
            </w:pPr>
            <w:r>
              <w:rPr>
                <w:rFonts w:ascii="Times New Roman" w:hAnsi="Times New Roman"/>
                <w:b w:val="0"/>
                <w:sz w:val="22"/>
              </w:rPr>
              <w:t>Embeddings (2021–2025)</w:t>
            </w:r>
          </w:p>
        </w:tc>
        <w:tc>
          <w:tcPr>
            <w:tcW w:type="dxa" w:w="3135"/>
          </w:tcPr>
          <w:p>
            <w:pPr>
              <w:spacing w:line="240" w:lineRule="auto" w:after="0"/>
            </w:pPr>
            <w:r>
              <w:rPr>
                <w:rFonts w:ascii="Times New Roman" w:hAnsi="Times New Roman"/>
                <w:b w:val="0"/>
                <w:sz w:val="22"/>
              </w:rPr>
              <w:t>FastText, embedding próprio</w:t>
            </w:r>
          </w:p>
        </w:tc>
        <w:tc>
          <w:tcPr>
            <w:tcW w:type="dxa" w:w="3135"/>
          </w:tcPr>
          <w:p>
            <w:pPr>
              <w:spacing w:line="240" w:lineRule="auto" w:after="0"/>
            </w:pPr>
            <w:r>
              <w:rPr>
                <w:rFonts w:ascii="Times New Roman" w:hAnsi="Times New Roman"/>
                <w:b w:val="0"/>
                <w:sz w:val="22"/>
              </w:rPr>
              <w:t>Rahimikia, Hashamia</w:t>
            </w:r>
          </w:p>
        </w:tc>
      </w:tr>
    </w:tbl>
    <w:p>
      <w:pPr>
        <w:spacing w:line="240" w:lineRule="auto" w:before="40" w:after="120"/>
        <w:jc w:val="center"/>
      </w:pPr>
      <w:r>
        <w:rPr>
          <w:rFonts w:ascii="Times New Roman" w:hAnsi="Times New Roman"/>
          <w:i w:val="0"/>
          <w:sz w:val="20"/>
        </w:rPr>
        <w:t>Fonte: Elaborado pelo autor (2026).</w:t>
      </w:r>
    </w:p>
    <w:p/>
    <w:p>
      <w:pPr>
        <w:spacing w:line="360" w:lineRule="auto" w:after="120"/>
        <w:ind w:firstLine="709"/>
        <w:jc w:val="both"/>
      </w:pPr>
      <w:r>
        <w:rPr>
          <w:rFonts w:ascii="Times New Roman" w:hAnsi="Times New Roman"/>
          <w:sz w:val="24"/>
        </w:rPr>
      </w:r>
      <w:r>
        <w:rPr>
          <w:rFonts w:ascii="Times New Roman" w:hAnsi="Times New Roman"/>
          <w:b/>
          <w:sz w:val="24"/>
        </w:rPr>
        <w:t>O que dizer:</w:t>
      </w:r>
      <w:r>
        <w:rPr>
          <w:rFonts w:ascii="Times New Roman" w:hAnsi="Times New Roman"/>
          <w:sz w:val="24"/>
        </w:rPr>
        <w:t xml:space="preserve"> “A ferramenta convergiu — praticamente todo mundo usa FinBERT ou variante, inclusive eu. </w:t>
      </w:r>
      <w:r>
        <w:rPr>
          <w:rFonts w:ascii="Times New Roman" w:hAnsi="Times New Roman"/>
          <w:b/>
          <w:sz w:val="24"/>
        </w:rPr>
        <w:t>A diferença de desempenho não está no encoder</w:t>
      </w:r>
      <w:r>
        <w:rPr>
          <w:rFonts w:ascii="Times New Roman" w:hAnsi="Times New Roman"/>
          <w:sz w:val="24"/>
        </w:rPr>
        <w:t>; está em quantos ativos, com que frequência de dado e com que método de combinação.”</w:t>
      </w:r>
    </w:p>
    <w:p>
      <w:pPr>
        <w:spacing w:line="360" w:lineRule="auto" w:after="120"/>
        <w:ind w:firstLine="709"/>
        <w:jc w:val="both"/>
      </w:pPr>
      <w:r>
        <w:rPr>
          <w:rFonts w:ascii="Times New Roman" w:hAnsi="Times New Roman"/>
          <w:sz w:val="24"/>
        </w:rPr>
        <w:t xml:space="preserve">E há um sinal que aparece em duas pesquisas independentes: </w:t>
      </w:r>
      <w:r>
        <w:rPr>
          <w:rFonts w:ascii="Times New Roman" w:hAnsi="Times New Roman"/>
          <w:b/>
          <w:sz w:val="24"/>
        </w:rPr>
        <w:t>usar os *embeddings</w:t>
      </w:r>
      <w:r>
        <w:rPr>
          <w:rFonts w:ascii="Times New Roman" w:hAnsi="Times New Roman"/>
          <w:sz w:val="24"/>
        </w:rPr>
        <w:t xml:space="preserve">* — a compreensão bruta do texto — </w:t>
      </w:r>
      <w:r>
        <w:rPr>
          <w:rFonts w:ascii="Times New Roman" w:hAnsi="Times New Roman"/>
          <w:b/>
          <w:sz w:val="24"/>
        </w:rPr>
        <w:t>funciona melhor que usar o parecer “positivo/negativo”</w:t>
      </w:r>
      <w:r>
        <w:rPr>
          <w:rFonts w:ascii="Times New Roman" w:hAnsi="Times New Roman"/>
          <w:sz w:val="24"/>
        </w:rPr>
        <w:t>. É caminho que ainda não testei.</w:t>
      </w:r>
    </w:p>
    <w:p>
      <w:pPr>
        <w:keepNext/>
        <w:spacing w:before="360" w:after="120"/>
      </w:pPr>
      <w:r>
        <w:rPr>
          <w:rFonts w:ascii="Times New Roman" w:hAnsi="Times New Roman"/>
          <w:b/>
          <w:sz w:val="24"/>
        </w:rPr>
        <w:t>5 O QUE PROPONHO FAZER</w:t>
      </w:r>
    </w:p>
    <w:p>
      <w:pPr>
        <w:spacing w:line="240" w:lineRule="auto" w:before="120" w:after="40"/>
        <w:jc w:val="center"/>
      </w:pPr>
      <w:r>
        <w:rPr>
          <w:rFonts w:ascii="Times New Roman" w:hAnsi="Times New Roman"/>
          <w:sz w:val="20"/>
        </w:rPr>
        <w:t>Tabela 4 – As quatro ações mais baratas</w:t>
      </w:r>
    </w:p>
    <w:tbl>
      <w:tblPr>
        <w:tblW w:type="auto" w:w="0"/>
        <w:jc w:val="center"/>
        <w:tblLook w:firstColumn="1" w:firstRow="1" w:lastColumn="0" w:lastRow="0" w:noHBand="0" w:noVBand="1" w:val="04A0"/>
        <w:tblBorders>
          <w:top w:val="single" w:sz="8" w:color="000000"/>
          <w:bottom w:val="single" w:sz="8" w:color="000000"/>
          <w:left w:val="none" w:sz="0"/>
          <w:right w:val="none" w:sz="0"/>
          <w:insideV w:val="none" w:sz="0"/>
        </w:tblBorders>
      </w:tblPr>
      <w:tblGrid>
        <w:gridCol w:w="2351"/>
        <w:gridCol w:w="2351"/>
        <w:gridCol w:w="2351"/>
        <w:gridCol w:w="2351"/>
      </w:tblGrid>
      <w:tr>
        <w:tc>
          <w:tcPr>
            <w:tcW w:type="dxa" w:w="2351"/>
            <w:tcBorders>
              <w:bottom w:val="single" w:sz="8" w:color="000000"/>
            </w:tcBorders>
          </w:tcPr>
          <w:p>
            <w:pPr>
              <w:spacing w:line="240" w:lineRule="auto" w:after="0"/>
            </w:pPr>
            <w:r>
              <w:rPr>
                <w:rFonts w:ascii="Times New Roman" w:hAnsi="Times New Roman"/>
                <w:b/>
                <w:sz w:val="22"/>
              </w:rPr>
              <w:t>#</w:t>
            </w:r>
          </w:p>
        </w:tc>
        <w:tc>
          <w:tcPr>
            <w:tcW w:type="dxa" w:w="2351"/>
            <w:tcBorders>
              <w:bottom w:val="single" w:sz="8" w:color="000000"/>
            </w:tcBorders>
          </w:tcPr>
          <w:p>
            <w:pPr>
              <w:spacing w:line="240" w:lineRule="auto" w:after="0"/>
            </w:pPr>
            <w:r>
              <w:rPr>
                <w:rFonts w:ascii="Times New Roman" w:hAnsi="Times New Roman"/>
                <w:b/>
                <w:sz w:val="22"/>
              </w:rPr>
              <w:t>O que fazer</w:t>
            </w:r>
          </w:p>
        </w:tc>
        <w:tc>
          <w:tcPr>
            <w:tcW w:type="dxa" w:w="2351"/>
            <w:tcBorders>
              <w:bottom w:val="single" w:sz="8" w:color="000000"/>
            </w:tcBorders>
          </w:tcPr>
          <w:p>
            <w:pPr>
              <w:spacing w:line="240" w:lineRule="auto" w:after="0"/>
            </w:pPr>
            <w:r>
              <w:rPr>
                <w:rFonts w:ascii="Times New Roman" w:hAnsi="Times New Roman"/>
                <w:b/>
                <w:sz w:val="22"/>
              </w:rPr>
              <w:t>De onde veio</w:t>
            </w:r>
          </w:p>
        </w:tc>
        <w:tc>
          <w:tcPr>
            <w:tcW w:type="dxa" w:w="2351"/>
            <w:tcBorders>
              <w:bottom w:val="single" w:sz="8" w:color="000000"/>
            </w:tcBorders>
          </w:tcPr>
          <w:p>
            <w:pPr>
              <w:spacing w:line="240" w:lineRule="auto" w:after="0"/>
            </w:pPr>
            <w:r>
              <w:rPr>
                <w:rFonts w:ascii="Times New Roman" w:hAnsi="Times New Roman"/>
                <w:b/>
                <w:sz w:val="22"/>
              </w:rPr>
              <w:t>Custo</w:t>
            </w:r>
          </w:p>
        </w:tc>
      </w:tr>
      <w:tr>
        <w:tc>
          <w:tcPr>
            <w:tcW w:type="dxa" w:w="2351"/>
          </w:tcPr>
          <w:p>
            <w:pPr>
              <w:spacing w:line="240" w:lineRule="auto" w:after="0"/>
            </w:pPr>
            <w:r>
              <w:rPr>
                <w:rFonts w:ascii="Times New Roman" w:hAnsi="Times New Roman"/>
                <w:b w:val="0"/>
                <w:sz w:val="22"/>
              </w:rPr>
              <w:t>1</w:t>
            </w:r>
          </w:p>
        </w:tc>
        <w:tc>
          <w:tcPr>
            <w:tcW w:type="dxa" w:w="2351"/>
          </w:tcPr>
          <w:p>
            <w:pPr>
              <w:spacing w:line="240" w:lineRule="auto" w:after="0"/>
            </w:pPr>
            <w:r>
              <w:rPr>
                <w:rFonts w:ascii="Times New Roman" w:hAnsi="Times New Roman"/>
                <w:b w:val="0"/>
                <w:sz w:val="22"/>
              </w:rPr>
              <w:t>Prever a DIREÇÃO da volatilidade (sobe ou desce)</w:t>
            </w:r>
          </w:p>
        </w:tc>
        <w:tc>
          <w:tcPr>
            <w:tcW w:type="dxa" w:w="2351"/>
          </w:tcPr>
          <w:p>
            <w:pPr>
              <w:spacing w:line="240" w:lineRule="auto" w:after="0"/>
            </w:pPr>
            <w:r>
              <w:rPr>
                <w:rFonts w:ascii="Times New Roman" w:hAnsi="Times New Roman"/>
                <w:b w:val="0"/>
                <w:sz w:val="22"/>
              </w:rPr>
              <w:t>Hashamia e Maldonado (2025)</w:t>
            </w:r>
          </w:p>
        </w:tc>
        <w:tc>
          <w:tcPr>
            <w:tcW w:type="dxa" w:w="2351"/>
          </w:tcPr>
          <w:p>
            <w:pPr>
              <w:spacing w:line="240" w:lineRule="auto" w:after="0"/>
            </w:pPr>
            <w:r>
              <w:rPr>
                <w:rFonts w:ascii="Times New Roman" w:hAnsi="Times New Roman"/>
                <w:b w:val="0"/>
                <w:sz w:val="22"/>
              </w:rPr>
              <w:t>baixo</w:t>
            </w:r>
          </w:p>
        </w:tc>
      </w:tr>
      <w:tr>
        <w:tc>
          <w:tcPr>
            <w:tcW w:type="dxa" w:w="2351"/>
          </w:tcPr>
          <w:p>
            <w:pPr>
              <w:spacing w:line="240" w:lineRule="auto" w:after="0"/>
            </w:pPr>
            <w:r>
              <w:rPr>
                <w:rFonts w:ascii="Times New Roman" w:hAnsi="Times New Roman"/>
                <w:b w:val="0"/>
                <w:sz w:val="22"/>
              </w:rPr>
              <w:t>2</w:t>
            </w:r>
          </w:p>
        </w:tc>
        <w:tc>
          <w:tcPr>
            <w:tcW w:type="dxa" w:w="2351"/>
          </w:tcPr>
          <w:p>
            <w:pPr>
              <w:spacing w:line="240" w:lineRule="auto" w:after="0"/>
            </w:pPr>
            <w:r>
              <w:rPr>
                <w:rFonts w:ascii="Times New Roman" w:hAnsi="Times New Roman"/>
                <w:b w:val="0"/>
                <w:sz w:val="22"/>
              </w:rPr>
              <w:t>Adotar recorte EMPRESA e varrer prazos de 10 a 30 dias</w:t>
            </w:r>
          </w:p>
        </w:tc>
        <w:tc>
          <w:tcPr>
            <w:tcW w:type="dxa" w:w="2351"/>
          </w:tcPr>
          <w:p>
            <w:pPr>
              <w:spacing w:line="240" w:lineRule="auto" w:after="0"/>
            </w:pPr>
            <w:r>
              <w:rPr>
                <w:rFonts w:ascii="Times New Roman" w:hAnsi="Times New Roman"/>
                <w:b w:val="0"/>
                <w:sz w:val="22"/>
              </w:rPr>
              <w:t>experimento próprio</w:t>
            </w:r>
          </w:p>
        </w:tc>
        <w:tc>
          <w:tcPr>
            <w:tcW w:type="dxa" w:w="2351"/>
          </w:tcPr>
          <w:p>
            <w:pPr>
              <w:spacing w:line="240" w:lineRule="auto" w:after="0"/>
            </w:pPr>
            <w:r>
              <w:rPr>
                <w:rFonts w:ascii="Times New Roman" w:hAnsi="Times New Roman"/>
                <w:b w:val="0"/>
                <w:sz w:val="22"/>
              </w:rPr>
              <w:t>muito baixo</w:t>
            </w:r>
          </w:p>
        </w:tc>
      </w:tr>
      <w:tr>
        <w:tc>
          <w:tcPr>
            <w:tcW w:type="dxa" w:w="2351"/>
          </w:tcPr>
          <w:p>
            <w:pPr>
              <w:spacing w:line="240" w:lineRule="auto" w:after="0"/>
            </w:pPr>
            <w:r>
              <w:rPr>
                <w:rFonts w:ascii="Times New Roman" w:hAnsi="Times New Roman"/>
                <w:b w:val="0"/>
                <w:sz w:val="22"/>
              </w:rPr>
              <w:t>3</w:t>
            </w:r>
          </w:p>
        </w:tc>
        <w:tc>
          <w:tcPr>
            <w:tcW w:type="dxa" w:w="2351"/>
          </w:tcPr>
          <w:p>
            <w:pPr>
              <w:spacing w:line="240" w:lineRule="auto" w:after="0"/>
            </w:pPr>
            <w:r>
              <w:rPr>
                <w:rFonts w:ascii="Times New Roman" w:hAnsi="Times New Roman"/>
                <w:b w:val="0"/>
                <w:sz w:val="22"/>
              </w:rPr>
              <w:t>Replicar para 5 a 10 ações da B3</w:t>
            </w:r>
          </w:p>
        </w:tc>
        <w:tc>
          <w:tcPr>
            <w:tcW w:type="dxa" w:w="2351"/>
          </w:tcPr>
          <w:p>
            <w:pPr>
              <w:spacing w:line="240" w:lineRule="auto" w:after="0"/>
            </w:pPr>
            <w:r>
              <w:rPr>
                <w:rFonts w:ascii="Times New Roman" w:hAnsi="Times New Roman"/>
                <w:b w:val="0"/>
                <w:sz w:val="22"/>
              </w:rPr>
              <w:t>Halousková e Lyócsa (2025)</w:t>
            </w:r>
          </w:p>
        </w:tc>
        <w:tc>
          <w:tcPr>
            <w:tcW w:type="dxa" w:w="2351"/>
          </w:tcPr>
          <w:p>
            <w:pPr>
              <w:spacing w:line="240" w:lineRule="auto" w:after="0"/>
            </w:pPr>
            <w:r>
              <w:rPr>
                <w:rFonts w:ascii="Times New Roman" w:hAnsi="Times New Roman"/>
                <w:b w:val="0"/>
                <w:sz w:val="22"/>
              </w:rPr>
              <w:t>médio</w:t>
            </w:r>
          </w:p>
        </w:tc>
      </w:tr>
      <w:tr>
        <w:tc>
          <w:tcPr>
            <w:tcW w:type="dxa" w:w="2351"/>
          </w:tcPr>
          <w:p>
            <w:pPr>
              <w:spacing w:line="240" w:lineRule="auto" w:after="0"/>
            </w:pPr>
            <w:r>
              <w:rPr>
                <w:rFonts w:ascii="Times New Roman" w:hAnsi="Times New Roman"/>
                <w:b w:val="0"/>
                <w:sz w:val="22"/>
              </w:rPr>
              <w:t>4</w:t>
            </w:r>
          </w:p>
        </w:tc>
        <w:tc>
          <w:tcPr>
            <w:tcW w:type="dxa" w:w="2351"/>
          </w:tcPr>
          <w:p>
            <w:pPr>
              <w:spacing w:line="240" w:lineRule="auto" w:after="0"/>
            </w:pPr>
            <w:r>
              <w:rPr>
                <w:rFonts w:ascii="Times New Roman" w:hAnsi="Times New Roman"/>
                <w:b w:val="0"/>
                <w:sz w:val="22"/>
              </w:rPr>
              <w:t>Buscar dados intradiários da PETR4</w:t>
            </w:r>
          </w:p>
        </w:tc>
        <w:tc>
          <w:tcPr>
            <w:tcW w:type="dxa" w:w="2351"/>
          </w:tcPr>
          <w:p>
            <w:pPr>
              <w:spacing w:line="240" w:lineRule="auto" w:after="0"/>
            </w:pPr>
            <w:r>
              <w:rPr>
                <w:rFonts w:ascii="Times New Roman" w:hAnsi="Times New Roman"/>
                <w:b w:val="0"/>
                <w:sz w:val="22"/>
              </w:rPr>
              <w:t>3 fontes independentes</w:t>
            </w:r>
          </w:p>
        </w:tc>
        <w:tc>
          <w:tcPr>
            <w:tcW w:type="dxa" w:w="2351"/>
          </w:tcPr>
          <w:p>
            <w:pPr>
              <w:spacing w:line="240" w:lineRule="auto" w:after="0"/>
            </w:pPr>
            <w:r>
              <w:rPr>
                <w:rFonts w:ascii="Times New Roman" w:hAnsi="Times New Roman"/>
                <w:b w:val="0"/>
                <w:sz w:val="22"/>
              </w:rPr>
              <w:t>alto</w:t>
            </w:r>
          </w:p>
        </w:tc>
      </w:tr>
    </w:tbl>
    <w:p>
      <w:pPr>
        <w:spacing w:line="240" w:lineRule="auto" w:before="40" w:after="120"/>
        <w:jc w:val="center"/>
      </w:pPr>
      <w:r>
        <w:rPr>
          <w:rFonts w:ascii="Times New Roman" w:hAnsi="Times New Roman"/>
          <w:i w:val="0"/>
          <w:sz w:val="20"/>
        </w:rPr>
        <w:t>Fonte: Elaborado pelo autor (2026).</w:t>
      </w:r>
    </w:p>
    <w:p/>
    <w:p>
      <w:pPr>
        <w:keepNext/>
        <w:spacing w:before="360" w:after="120"/>
      </w:pPr>
      <w:r>
        <w:rPr>
          <w:rFonts w:ascii="Times New Roman" w:hAnsi="Times New Roman"/>
          <w:b/>
          <w:sz w:val="24"/>
        </w:rPr>
        <w:t>6 DUAS COISAS A DECLARAR ANTES QUE PERGUNTEM</w:t>
      </w:r>
    </w:p>
    <w:p>
      <w:pPr>
        <w:pStyle w:val="ListBullet"/>
        <w:spacing w:line="360" w:lineRule="auto"/>
      </w:pPr>
      <w:r>
        <w:rPr>
          <w:rFonts w:ascii="Times New Roman" w:hAnsi="Times New Roman"/>
          <w:sz w:val="24"/>
        </w:rPr>
      </w:r>
      <w:r>
        <w:rPr>
          <w:rFonts w:ascii="Times New Roman" w:hAnsi="Times New Roman"/>
          <w:b/>
          <w:sz w:val="24"/>
        </w:rPr>
        <w:t>O número 54,93% sai.</w:t>
      </w:r>
      <w:r>
        <w:rPr>
          <w:rFonts w:ascii="Times New Roman" w:hAnsi="Times New Roman"/>
          <w:sz w:val="24"/>
        </w:rPr>
        <w:t xml:space="preserve"> É acurácia de validação, não de teste. No teste ponderar dá 50,31%, contra 53,88% sem ponderar. </w:t>
      </w:r>
      <w:r>
        <w:rPr>
          <w:rFonts w:ascii="Times New Roman" w:hAnsi="Times New Roman"/>
          <w:b/>
          <w:sz w:val="24"/>
        </w:rPr>
        <w:t>O número correto é 54,5%.</w:t>
      </w:r>
      <w:r>
        <w:rPr>
          <w:rFonts w:ascii="Times New Roman" w:hAnsi="Times New Roman"/>
          <w:sz w:val="24"/>
        </w:rPr>
      </w:r>
    </w:p>
    <w:p>
      <w:pPr>
        <w:pStyle w:val="ListBullet"/>
        <w:spacing w:line="360" w:lineRule="auto"/>
      </w:pPr>
      <w:r>
        <w:rPr>
          <w:rFonts w:ascii="Times New Roman" w:hAnsi="Times New Roman"/>
          <w:sz w:val="24"/>
        </w:rPr>
      </w:r>
      <w:r>
        <w:rPr>
          <w:rFonts w:ascii="Times New Roman" w:hAnsi="Times New Roman"/>
          <w:b/>
          <w:sz w:val="24"/>
        </w:rPr>
        <w:t>Originalidade com precisão:</w:t>
      </w:r>
      <w:r>
        <w:rPr>
          <w:rFonts w:ascii="Times New Roman" w:hAnsi="Times New Roman"/>
          <w:sz w:val="24"/>
        </w:rPr>
        <w:t xml:space="preserve"> prever direção é o assunto mais concorrido da área. O que é raro é a </w:t>
      </w:r>
      <w:r>
        <w:rPr>
          <w:rFonts w:ascii="Times New Roman" w:hAnsi="Times New Roman"/>
          <w:b/>
          <w:sz w:val="24"/>
        </w:rPr>
        <w:t>combinação</w:t>
      </w:r>
      <w:r>
        <w:rPr>
          <w:rFonts w:ascii="Times New Roman" w:hAnsi="Times New Roman"/>
          <w:sz w:val="24"/>
        </w:rPr>
        <w:t xml:space="preserve"> — direção e volatilidade juntas, sobre uma ação individual, em português, com teste consultado uma vez só.</w:t>
      </w:r>
    </w:p>
    <w:p>
      <w:pPr>
        <w:keepNext/>
        <w:spacing w:before="360" w:after="120"/>
      </w:pPr>
      <w:r>
        <w:rPr>
          <w:rFonts w:ascii="Times New Roman" w:hAnsi="Times New Roman"/>
          <w:b/>
          <w:sz w:val="24"/>
        </w:rPr>
        <w:t>7 ROTEIRO DE DOIS MINUTOS</w:t>
      </w:r>
    </w:p>
    <w:p>
      <w:pPr>
        <w:pStyle w:val="ListBullet"/>
        <w:spacing w:line="360" w:lineRule="auto"/>
      </w:pPr>
      <w:r>
        <w:rPr>
          <w:rFonts w:ascii="Times New Roman" w:hAnsi="Times New Roman"/>
          <w:sz w:val="24"/>
        </w:rPr>
        <w:t>“Levantei dezesseis pesquisas que preveem direção ou volatilidade. Estão na planilha, com alvo, mercado, encoder, volume de notícias e resultado.”</w:t>
      </w:r>
    </w:p>
    <w:p>
      <w:pPr>
        <w:pStyle w:val="ListBullet"/>
        <w:spacing w:line="360" w:lineRule="auto"/>
      </w:pPr>
      <w:r>
        <w:rPr>
          <w:rFonts w:ascii="Times New Roman" w:hAnsi="Times New Roman"/>
          <w:sz w:val="24"/>
        </w:rPr>
        <w:t>“Na volatilidade, dois superam o modelo de referência e eu não — mas usam 404 ações e dados de 5 minutos, contra a minha ação única e dado diário.”</w:t>
      </w:r>
    </w:p>
    <w:p>
      <w:pPr>
        <w:pStyle w:val="ListBullet"/>
        <w:spacing w:line="360" w:lineRule="auto"/>
      </w:pPr>
      <w:r>
        <w:rPr>
          <w:rFonts w:ascii="Times New Roman" w:hAnsi="Times New Roman"/>
          <w:sz w:val="24"/>
        </w:rPr>
        <w:t>“Na direção, ninguém acerta. O 86,7% mais citado da área são 13 acertos em 15 dias, e foi refutado em 2017.”</w:t>
      </w:r>
    </w:p>
    <w:p>
      <w:pPr>
        <w:pStyle w:val="ListBullet"/>
        <w:spacing w:line="360" w:lineRule="auto"/>
      </w:pPr>
      <w:r>
        <w:rPr>
          <w:rFonts w:ascii="Times New Roman" w:hAnsi="Times New Roman"/>
          <w:sz w:val="24"/>
        </w:rPr>
        <w:t>“A comparação justa é o ganho sobre um modelo só de preços: a literatura dá de 2 a 10 pontos percentuais, e o meu é 4,4.”</w:t>
      </w:r>
    </w:p>
    <w:p>
      <w:pPr>
        <w:pStyle w:val="ListBullet"/>
        <w:spacing w:line="360" w:lineRule="auto"/>
      </w:pPr>
      <w:r>
        <w:rPr>
          <w:rFonts w:ascii="Times New Roman" w:hAnsi="Times New Roman"/>
          <w:sz w:val="24"/>
        </w:rPr>
        <w:t>“Todos usam FinBERT ou variante — a diferença não está no encoder, está na quantidade de ativos e na frequência do dado.”</w:t>
      </w:r>
    </w:p>
    <w:p>
      <w:pPr>
        <w:pStyle w:val="ListBullet"/>
        <w:spacing w:line="360" w:lineRule="auto"/>
      </w:pPr>
      <w:r>
        <w:rPr>
          <w:rFonts w:ascii="Times New Roman" w:hAnsi="Times New Roman"/>
          <w:sz w:val="24"/>
        </w:rPr>
        <w:t>“E encontrei um alvo novo: prever se a volatilidade sobe ou desce. Tem código público, é sobre petróleo, e eu nunca testei. É o meu próximo passo.”</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