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8"/>
        </w:rPr>
        <w:t>O QUE O MUNDO EM INGLÊS JÁ DESCOBRIU</w:t>
      </w:r>
    </w:p>
    <w:p>
      <w:pPr>
        <w:jc w:val="center"/>
      </w:pPr>
      <w:r>
        <w:rPr>
          <w:rFonts w:ascii="Times New Roman" w:hAnsi="Times New Roman"/>
          <w:i/>
          <w:sz w:val="24"/>
        </w:rPr>
        <w:t>Encoders financeiros, quem os cita, para que servem — e o que isso muda na nossa pesquisa</w:t>
      </w:r>
    </w:p>
    <w:p/>
    <w:p/>
    <w:p>
      <w:pPr>
        <w:jc w:val="center"/>
      </w:pPr>
      <w:r>
        <w:rPr>
          <w:rFonts w:ascii="Times New Roman" w:hAnsi="Times New Roman"/>
          <w:sz w:val="24"/>
        </w:rPr>
        <w:t>Vanderlei Barbosa da Silva</w:t>
      </w:r>
    </w:p>
    <w:p>
      <w:pPr>
        <w:jc w:val="center"/>
      </w:pPr>
      <w:r>
        <w:rPr>
          <w:rFonts w:ascii="Times New Roman" w:hAnsi="Times New Roman"/>
          <w:sz w:val="24"/>
        </w:rPr>
        <w:t>Orientador: Prof. Dr. Julio Cesar Nievola</w:t>
      </w:r>
    </w:p>
    <w:p>
      <w:pPr>
        <w:jc w:val="center"/>
      </w:pPr>
      <w:r>
        <w:rPr>
          <w:rFonts w:ascii="Times New Roman" w:hAnsi="Times New Roman"/>
          <w:sz w:val="24"/>
        </w:rPr>
        <w:t>PUCPR — Programa de Pós-Graduação em Informática (PPGIa)</w:t>
      </w:r>
    </w:p>
    <w:p/>
    <w:p>
      <w:pPr>
        <w:ind w:left="4535"/>
        <w:jc w:val="both"/>
      </w:pPr>
      <w:r>
        <w:rPr>
          <w:rFonts w:ascii="Times New Roman" w:hAnsi="Times New Roman"/>
          <w:sz w:val="20"/>
        </w:rPr>
        <w:t>Documento escrito para ser entendido sem conhecimento prévio de aprendizado de máquina ou de estatística. Todo termo técnico é explicado quando aparece pela primeira vez, com analogia. Elaborado em 13 de agosto de 2026, atendendo às três tarefas determinadas pelo Prof. Dr. Emerson Cabrera Paraiso na mentoria da mesma data.</w:t>
      </w:r>
    </w:p>
    <w:p>
      <w:r>
        <w:br w:type="page"/>
      </w:r>
    </w:p>
    <w:p>
      <w:pPr>
        <w:keepNext/>
        <w:spacing w:before="360" w:after="120"/>
      </w:pPr>
      <w:r>
        <w:rPr>
          <w:rFonts w:ascii="Times New Roman" w:hAnsi="Times New Roman"/>
          <w:b/>
          <w:sz w:val="24"/>
        </w:rPr>
        <w:t>1 A NOTÍCIA MAIS IMPORTANTE DESTE DOCUMENTO</w:t>
      </w:r>
    </w:p>
    <w:p>
      <w:pPr>
        <w:spacing w:line="360" w:lineRule="auto" w:after="120"/>
        <w:ind w:firstLine="709"/>
        <w:jc w:val="both"/>
      </w:pPr>
      <w:r>
        <w:rPr>
          <w:rFonts w:ascii="Times New Roman" w:hAnsi="Times New Roman"/>
          <w:sz w:val="24"/>
        </w:rPr>
        <w:t>Antes de qualquer detalhe, o achado que muda o tom da sua defesa.</w:t>
      </w:r>
    </w:p>
    <w:p>
      <w:pPr>
        <w:spacing w:line="360" w:lineRule="auto" w:after="120"/>
        <w:ind w:firstLine="709"/>
        <w:jc w:val="both"/>
      </w:pPr>
      <w:r>
        <w:rPr>
          <w:rFonts w:ascii="Times New Roman" w:hAnsi="Times New Roman"/>
          <w:sz w:val="24"/>
        </w:rPr>
        <w:t xml:space="preserve">Nós vínhamos tratando o nosso desempenho de </w:t>
      </w:r>
      <w:r>
        <w:rPr>
          <w:rFonts w:ascii="Times New Roman" w:hAnsi="Times New Roman"/>
          <w:b/>
          <w:sz w:val="24"/>
        </w:rPr>
        <w:t>0,58</w:t>
      </w:r>
      <w:r>
        <w:rPr>
          <w:rFonts w:ascii="Times New Roman" w:hAnsi="Times New Roman"/>
          <w:sz w:val="24"/>
        </w:rPr>
        <w:t xml:space="preserve"> como um problema — algo que precisava ser consertado, e que resistiu a nove tentativas de conserto. Havia sempre a suspeita de que a culpa fosse do português, ou do modelo brasileiro ter sido treinado com poucos dados.</w:t>
      </w:r>
    </w:p>
    <w:p>
      <w:pPr>
        <w:spacing w:line="360" w:lineRule="auto" w:after="120"/>
        <w:ind w:firstLine="709"/>
        <w:jc w:val="both"/>
      </w:pPr>
      <w:r>
        <w:rPr>
          <w:rFonts w:ascii="Times New Roman" w:hAnsi="Times New Roman"/>
          <w:sz w:val="24"/>
        </w:rPr>
      </w:r>
      <w:r>
        <w:rPr>
          <w:rFonts w:ascii="Times New Roman" w:hAnsi="Times New Roman"/>
          <w:b/>
          <w:sz w:val="24"/>
        </w:rPr>
        <w:t>Não é nada disso.</w:t>
      </w:r>
      <w:r>
        <w:rPr>
          <w:rFonts w:ascii="Times New Roman" w:hAnsi="Times New Roman"/>
          <w:sz w:val="24"/>
        </w:rPr>
        <w:t xml:space="preserve"> Encontrei um estudo de 2025 que pegou o FinBERT </w:t>
      </w:r>
      <w:r>
        <w:rPr>
          <w:rFonts w:ascii="Times New Roman" w:hAnsi="Times New Roman"/>
          <w:b/>
          <w:sz w:val="24"/>
        </w:rPr>
        <w:t>inglês</w:t>
      </w:r>
      <w:r>
        <w:rPr>
          <w:rFonts w:ascii="Times New Roman" w:hAnsi="Times New Roman"/>
          <w:sz w:val="24"/>
        </w:rPr>
        <w:t xml:space="preserve"> — o modelo com 4,5 milhões de downloads por mês, treinado com bilhões de palavras, publicado em revista de primeira linha — e o aplicou a manchetes de um setor específico, sem ajuste. Resultado:</w:t>
      </w:r>
    </w:p>
    <w:p>
      <w:pPr>
        <w:spacing w:line="240" w:lineRule="auto" w:before="120" w:after="40"/>
        <w:jc w:val="center"/>
      </w:pPr>
      <w:r>
        <w:rPr>
          <w:rFonts w:ascii="Times New Roman" w:hAnsi="Times New Roman"/>
          <w:sz w:val="20"/>
        </w:rPr>
        <w:t>Tabela 1 – O nosso número comparado ao do modelo em inglês</w:t>
      </w:r>
    </w:p>
    <w:tbl>
      <w:tblPr>
        <w:tblW w:type="auto" w:w="0"/>
        <w:jc w:val="center"/>
        <w:tblLook w:firstColumn="1" w:firstRow="1" w:lastColumn="0" w:lastRow="0" w:noHBand="0" w:noVBand="1" w:val="04A0"/>
        <w:tblBorders>
          <w:top w:val="single" w:sz="8" w:color="000000"/>
          <w:bottom w:val="single" w:sz="8" w:color="000000"/>
          <w:left w:val="none" w:sz="0"/>
          <w:right w:val="none" w:sz="0"/>
          <w:insideV w:val="none" w:sz="0"/>
        </w:tblBorders>
      </w:tblPr>
      <w:tblGrid>
        <w:gridCol w:w="3135"/>
        <w:gridCol w:w="3135"/>
        <w:gridCol w:w="3135"/>
      </w:tblGrid>
      <w:tr>
        <w:tc>
          <w:tcPr>
            <w:tcW w:type="dxa" w:w="3135"/>
            <w:tcBorders>
              <w:bottom w:val="single" w:sz="8" w:color="000000"/>
            </w:tcBorders>
          </w:tcPr>
          <w:p>
            <w:pPr>
              <w:spacing w:line="240" w:lineRule="auto" w:after="0"/>
            </w:pPr>
            <w:r>
              <w:rPr>
                <w:rFonts w:ascii="Times New Roman" w:hAnsi="Times New Roman"/>
                <w:b/>
                <w:sz w:val="22"/>
              </w:rPr>
              <w:t>Modelo</w:t>
            </w:r>
          </w:p>
        </w:tc>
        <w:tc>
          <w:tcPr>
            <w:tcW w:type="dxa" w:w="3135"/>
            <w:tcBorders>
              <w:bottom w:val="single" w:sz="8" w:color="000000"/>
            </w:tcBorders>
          </w:tcPr>
          <w:p>
            <w:pPr>
              <w:spacing w:line="240" w:lineRule="auto" w:after="0"/>
            </w:pPr>
            <w:r>
              <w:rPr>
                <w:rFonts w:ascii="Times New Roman" w:hAnsi="Times New Roman"/>
                <w:b/>
                <w:sz w:val="22"/>
              </w:rPr>
              <w:t>Situação</w:t>
            </w:r>
          </w:p>
        </w:tc>
        <w:tc>
          <w:tcPr>
            <w:tcW w:type="dxa" w:w="3135"/>
            <w:tcBorders>
              <w:bottom w:val="single" w:sz="8" w:color="000000"/>
            </w:tcBorders>
          </w:tcPr>
          <w:p>
            <w:pPr>
              <w:spacing w:line="240" w:lineRule="auto" w:after="0"/>
            </w:pPr>
            <w:r>
              <w:rPr>
                <w:rFonts w:ascii="Times New Roman" w:hAnsi="Times New Roman"/>
                <w:b/>
                <w:sz w:val="22"/>
              </w:rPr>
              <w:t>Desempenho (F1)</w:t>
            </w:r>
          </w:p>
        </w:tc>
      </w:tr>
      <w:tr>
        <w:tc>
          <w:tcPr>
            <w:tcW w:type="dxa" w:w="3135"/>
          </w:tcPr>
          <w:p>
            <w:pPr>
              <w:spacing w:line="240" w:lineRule="auto" w:after="0"/>
            </w:pPr>
            <w:r>
              <w:rPr>
                <w:rFonts w:ascii="Times New Roman" w:hAnsi="Times New Roman"/>
                <w:b w:val="0"/>
                <w:sz w:val="22"/>
              </w:rPr>
              <w:t>FinBERT inglês</w:t>
            </w:r>
          </w:p>
        </w:tc>
        <w:tc>
          <w:tcPr>
            <w:tcW w:type="dxa" w:w="3135"/>
          </w:tcPr>
          <w:p>
            <w:pPr>
              <w:spacing w:line="240" w:lineRule="auto" w:after="0"/>
            </w:pPr>
            <w:r>
              <w:rPr>
                <w:rFonts w:ascii="Times New Roman" w:hAnsi="Times New Roman"/>
                <w:b w:val="0"/>
                <w:sz w:val="22"/>
              </w:rPr>
              <w:t>manchetes setoriais, sem ajuste</w:t>
            </w:r>
          </w:p>
        </w:tc>
        <w:tc>
          <w:tcPr>
            <w:tcW w:type="dxa" w:w="3135"/>
          </w:tcPr>
          <w:p>
            <w:pPr>
              <w:spacing w:line="240" w:lineRule="auto" w:after="0"/>
            </w:pPr>
            <w:r>
              <w:rPr>
                <w:rFonts w:ascii="Times New Roman" w:hAnsi="Times New Roman"/>
                <w:b w:val="0"/>
                <w:sz w:val="22"/>
              </w:rPr>
              <w:t>0,555</w:t>
            </w:r>
          </w:p>
        </w:tc>
      </w:tr>
      <w:tr>
        <w:tc>
          <w:tcPr>
            <w:tcW w:type="dxa" w:w="3135"/>
          </w:tcPr>
          <w:p>
            <w:pPr>
              <w:spacing w:line="240" w:lineRule="auto" w:after="0"/>
            </w:pPr>
            <w:r>
              <w:rPr>
                <w:rFonts w:ascii="Times New Roman" w:hAnsi="Times New Roman"/>
                <w:b w:val="0"/>
                <w:sz w:val="22"/>
              </w:rPr>
              <w:t>FinBERT-PT-BR (o nosso)</w:t>
            </w:r>
          </w:p>
        </w:tc>
        <w:tc>
          <w:tcPr>
            <w:tcW w:type="dxa" w:w="3135"/>
          </w:tcPr>
          <w:p>
            <w:pPr>
              <w:spacing w:line="240" w:lineRule="auto" w:after="0"/>
            </w:pPr>
            <w:r>
              <w:rPr>
                <w:rFonts w:ascii="Times New Roman" w:hAnsi="Times New Roman"/>
                <w:b w:val="0"/>
                <w:sz w:val="22"/>
              </w:rPr>
              <w:t>manchetes da PETR4, sem ajuste</w:t>
            </w:r>
          </w:p>
        </w:tc>
        <w:tc>
          <w:tcPr>
            <w:tcW w:type="dxa" w:w="3135"/>
          </w:tcPr>
          <w:p>
            <w:pPr>
              <w:spacing w:line="240" w:lineRule="auto" w:after="0"/>
            </w:pPr>
            <w:r>
              <w:rPr>
                <w:rFonts w:ascii="Times New Roman" w:hAnsi="Times New Roman"/>
                <w:b w:val="0"/>
                <w:sz w:val="22"/>
              </w:rPr>
              <w:t>0,579</w:t>
            </w:r>
          </w:p>
        </w:tc>
      </w:tr>
    </w:tbl>
    <w:p>
      <w:pPr>
        <w:spacing w:line="240" w:lineRule="auto" w:before="40" w:after="120"/>
        <w:jc w:val="center"/>
      </w:pPr>
      <w:r>
        <w:rPr>
          <w:rFonts w:ascii="Times New Roman" w:hAnsi="Times New Roman"/>
          <w:i w:val="0"/>
          <w:sz w:val="20"/>
        </w:rPr>
        <w:t>Fonte: Elaborado pelo autor (2026).</w:t>
      </w:r>
    </w:p>
    <w:p/>
    <w:p>
      <w:pPr>
        <w:spacing w:line="360" w:lineRule="auto" w:after="120"/>
        <w:ind w:firstLine="709"/>
        <w:jc w:val="both"/>
      </w:pPr>
      <w:r>
        <w:rPr>
          <w:rFonts w:ascii="Times New Roman" w:hAnsi="Times New Roman"/>
          <w:sz w:val="24"/>
        </w:rPr>
      </w:r>
      <w:r>
        <w:rPr>
          <w:rFonts w:ascii="Times New Roman" w:hAnsi="Times New Roman"/>
          <w:b/>
          <w:sz w:val="24"/>
        </w:rPr>
        <w:t>O nosso é ligeiramente MELHOR.</w:t>
      </w:r>
      <w:r>
        <w:rPr>
          <w:rFonts w:ascii="Times New Roman" w:hAnsi="Times New Roman"/>
          <w:sz w:val="24"/>
        </w:rPr>
        <w:t xml:space="preserve"> Não pior — melhor.</w:t>
      </w:r>
    </w:p>
    <w:p>
      <w:pPr>
        <w:spacing w:line="360" w:lineRule="auto" w:after="120"/>
        <w:ind w:firstLine="709"/>
        <w:jc w:val="both"/>
      </w:pPr>
      <w:r>
        <w:rPr>
          <w:rFonts w:ascii="Times New Roman" w:hAnsi="Times New Roman"/>
          <w:sz w:val="24"/>
        </w:rPr>
        <w:t xml:space="preserve">Isso significa que o teto de 0,58 </w:t>
      </w:r>
      <w:r>
        <w:rPr>
          <w:rFonts w:ascii="Times New Roman" w:hAnsi="Times New Roman"/>
          <w:b/>
          <w:sz w:val="24"/>
        </w:rPr>
        <w:t>não é falha do português, nem do modelo brasileiro, nem de escolha errada de arquitetura.</w:t>
      </w:r>
      <w:r>
        <w:rPr>
          <w:rFonts w:ascii="Times New Roman" w:hAnsi="Times New Roman"/>
          <w:sz w:val="24"/>
        </w:rPr>
        <w:t xml:space="preserve"> É simplesmente o que acontece com qualquer modelo desse tipo quando aplicado a um recorte específico sem treinamento adicional. </w:t>
      </w:r>
      <w:r>
        <w:rPr>
          <w:rFonts w:ascii="Times New Roman" w:hAnsi="Times New Roman"/>
          <w:b/>
          <w:sz w:val="24"/>
        </w:rPr>
        <w:t>É o comportamento esperado.</w:t>
      </w:r>
      <w:r>
        <w:rPr>
          <w:rFonts w:ascii="Times New Roman" w:hAnsi="Times New Roman"/>
          <w:sz w:val="24"/>
        </w:rPr>
      </w:r>
    </w:p>
    <w:p>
      <w:pPr>
        <w:spacing w:line="360" w:lineRule="auto" w:after="120"/>
        <w:ind w:firstLine="709"/>
        <w:jc w:val="both"/>
      </w:pPr>
      <w:r>
        <w:rPr>
          <w:rFonts w:ascii="Times New Roman" w:hAnsi="Times New Roman"/>
          <w:sz w:val="24"/>
        </w:rPr>
        <w:t>Você passou meses achando que tinha um problema. Você tinha um resultado normal, e agora tem a evidência externa para provar isso.</w:t>
      </w:r>
    </w:p>
    <w:p>
      <w:pPr>
        <w:keepNext/>
        <w:spacing w:before="360" w:after="120"/>
      </w:pPr>
      <w:r>
        <w:rPr>
          <w:rFonts w:ascii="Times New Roman" w:hAnsi="Times New Roman"/>
          <w:b/>
          <w:sz w:val="24"/>
        </w:rPr>
        <w:t>2 TAREFA 1 — QUAL É O BERT FINANCEIRO EM INGLÊS</w:t>
      </w:r>
    </w:p>
    <w:p>
      <w:pPr>
        <w:spacing w:line="360" w:lineRule="auto" w:after="120"/>
        <w:ind w:firstLine="709"/>
        <w:jc w:val="both"/>
      </w:pPr>
      <w:r>
        <w:rPr>
          <w:rFonts w:ascii="Times New Roman" w:hAnsi="Times New Roman"/>
          <w:sz w:val="24"/>
        </w:rPr>
        <w:t xml:space="preserve">Antes de responder, uma explicação rápida do que é um </w:t>
      </w:r>
      <w:r>
        <w:rPr>
          <w:rFonts w:ascii="Times New Roman" w:hAnsi="Times New Roman"/>
          <w:b/>
          <w:sz w:val="24"/>
        </w:rPr>
        <w:t>encoder</w:t>
      </w:r>
      <w:r>
        <w:rPr>
          <w:rFonts w:ascii="Times New Roman" w:hAnsi="Times New Roman"/>
          <w:sz w:val="24"/>
        </w:rPr>
        <w:t>, porque a palavra vai aparecer o tempo todo.</w:t>
      </w:r>
    </w:p>
    <w:p>
      <w:pPr>
        <w:keepNext/>
        <w:spacing w:before="240" w:after="120"/>
      </w:pPr>
      <w:r>
        <w:rPr>
          <w:rFonts w:ascii="Times New Roman" w:hAnsi="Times New Roman"/>
          <w:b/>
          <w:sz w:val="24"/>
        </w:rPr>
        <w:t>2.1 O que é um encoder, com uma analogia</w:t>
      </w:r>
    </w:p>
    <w:p>
      <w:pPr>
        <w:spacing w:line="360" w:lineRule="auto" w:after="120"/>
        <w:ind w:firstLine="709"/>
        <w:jc w:val="both"/>
      </w:pPr>
      <w:r>
        <w:rPr>
          <w:rFonts w:ascii="Times New Roman" w:hAnsi="Times New Roman"/>
          <w:sz w:val="24"/>
        </w:rPr>
        <w:t xml:space="preserve">Pense num </w:t>
      </w:r>
      <w:r>
        <w:rPr>
          <w:rFonts w:ascii="Times New Roman" w:hAnsi="Times New Roman"/>
          <w:b/>
          <w:sz w:val="24"/>
        </w:rPr>
        <w:t>funcionário que você contrata para ler notícias</w:t>
      </w:r>
      <w:r>
        <w:rPr>
          <w:rFonts w:ascii="Times New Roman" w:hAnsi="Times New Roman"/>
          <w:sz w:val="24"/>
        </w:rPr>
        <w:t>. Ele passou por duas formações:</w:t>
      </w:r>
    </w:p>
    <w:p>
      <w:pPr>
        <w:pStyle w:val="ListBullet"/>
        <w:spacing w:line="360" w:lineRule="auto"/>
      </w:pPr>
      <w:r>
        <w:rPr>
          <w:rFonts w:ascii="Times New Roman" w:hAnsi="Times New Roman"/>
          <w:sz w:val="24"/>
        </w:rPr>
      </w:r>
      <w:r>
        <w:rPr>
          <w:rFonts w:ascii="Times New Roman" w:hAnsi="Times New Roman"/>
          <w:b/>
          <w:sz w:val="24"/>
        </w:rPr>
        <w:t>Formação geral</w:t>
      </w:r>
      <w:r>
        <w:rPr>
          <w:rFonts w:ascii="Times New Roman" w:hAnsi="Times New Roman"/>
          <w:sz w:val="24"/>
        </w:rPr>
        <w:t xml:space="preserve"> — aprendeu a língua: gramática, vocabulário, como as palavras se combinam. É o BERT comum.</w:t>
      </w:r>
    </w:p>
    <w:p>
      <w:pPr>
        <w:pStyle w:val="ListBullet"/>
        <w:spacing w:line="360" w:lineRule="auto"/>
      </w:pPr>
      <w:r>
        <w:rPr>
          <w:rFonts w:ascii="Times New Roman" w:hAnsi="Times New Roman"/>
          <w:sz w:val="24"/>
        </w:rPr>
      </w:r>
      <w:r>
        <w:rPr>
          <w:rFonts w:ascii="Times New Roman" w:hAnsi="Times New Roman"/>
          <w:b/>
          <w:sz w:val="24"/>
        </w:rPr>
        <w:t>Especialização</w:t>
      </w:r>
      <w:r>
        <w:rPr>
          <w:rFonts w:ascii="Times New Roman" w:hAnsi="Times New Roman"/>
          <w:sz w:val="24"/>
        </w:rPr>
        <w:t xml:space="preserve"> — depois, leu milhões de textos de finanças até ficar fluente no jargão. Aprendeu que “alavancagem” não tem a ver com alavancas e que “posição vendida” não é sobre vender. Isso é o </w:t>
      </w:r>
      <w:r>
        <w:rPr>
          <w:rFonts w:ascii="Times New Roman" w:hAnsi="Times New Roman"/>
          <w:b/>
          <w:sz w:val="24"/>
        </w:rPr>
        <w:t>FinBERT</w:t>
      </w:r>
      <w:r>
        <w:rPr>
          <w:rFonts w:ascii="Times New Roman" w:hAnsi="Times New Roman"/>
          <w:sz w:val="24"/>
        </w:rPr>
        <w:t>.</w:t>
      </w:r>
    </w:p>
    <w:p>
      <w:pPr>
        <w:spacing w:line="360" w:lineRule="auto" w:after="120"/>
        <w:ind w:firstLine="709"/>
        <w:jc w:val="both"/>
      </w:pPr>
      <w:r>
        <w:rPr>
          <w:rFonts w:ascii="Times New Roman" w:hAnsi="Times New Roman"/>
          <w:sz w:val="24"/>
        </w:rPr>
      </w:r>
      <w:r>
        <w:rPr>
          <w:rFonts w:ascii="Times New Roman" w:hAnsi="Times New Roman"/>
          <w:b/>
          <w:sz w:val="24"/>
        </w:rPr>
        <w:t>Encoder</w:t>
      </w:r>
      <w:r>
        <w:rPr>
          <w:rFonts w:ascii="Times New Roman" w:hAnsi="Times New Roman"/>
          <w:sz w:val="24"/>
        </w:rPr>
        <w:t xml:space="preserve"> é o nome técnico desse funcionário. Ele não decora respostas: aprendeu um jeito de ler e formar opinião.</w:t>
      </w:r>
    </w:p>
    <w:p>
      <w:pPr>
        <w:keepNext/>
        <w:spacing w:before="240" w:after="120"/>
      </w:pPr>
      <w:r>
        <w:rPr>
          <w:rFonts w:ascii="Times New Roman" w:hAnsi="Times New Roman"/>
          <w:b/>
          <w:sz w:val="24"/>
        </w:rPr>
        <w:t>2.2 A resposta: existem DOIS, e isso confunde muita gente</w:t>
      </w:r>
    </w:p>
    <w:p>
      <w:pPr>
        <w:spacing w:line="360" w:lineRule="auto" w:after="120"/>
        <w:ind w:firstLine="709"/>
        <w:jc w:val="both"/>
      </w:pPr>
      <w:r>
        <w:rPr>
          <w:rFonts w:ascii="Times New Roman" w:hAnsi="Times New Roman"/>
          <w:sz w:val="24"/>
        </w:rPr>
        <w:t xml:space="preserve">Este é um detalhe que vale mencionar na banca, porque mostra domínio da literatura: </w:t>
      </w:r>
      <w:r>
        <w:rPr>
          <w:rFonts w:ascii="Times New Roman" w:hAnsi="Times New Roman"/>
          <w:b/>
          <w:sz w:val="24"/>
        </w:rPr>
        <w:t>há dois modelos diferentes com o mesmo nome “FinBERT”</w:t>
      </w:r>
      <w:r>
        <w:rPr>
          <w:rFonts w:ascii="Times New Roman" w:hAnsi="Times New Roman"/>
          <w:sz w:val="24"/>
        </w:rPr>
        <w:t>, de grupos diferentes. Muitos artigos escrevem só “FinBERT” sem dizer qual, o que torna o texto ambíguo.</w:t>
      </w:r>
    </w:p>
    <w:p>
      <w:pPr>
        <w:spacing w:line="240" w:lineRule="auto" w:before="120" w:after="40"/>
        <w:jc w:val="center"/>
      </w:pPr>
      <w:r>
        <w:rPr>
          <w:rFonts w:ascii="Times New Roman" w:hAnsi="Times New Roman"/>
          <w:sz w:val="20"/>
        </w:rPr>
        <w:t>Tabela 2 – Os dois FinBERT em inglês</w:t>
      </w:r>
    </w:p>
    <w:tbl>
      <w:tblPr>
        <w:tblW w:type="auto" w:w="0"/>
        <w:jc w:val="center"/>
        <w:tblLook w:firstColumn="1" w:firstRow="1" w:lastColumn="0" w:lastRow="0" w:noHBand="0" w:noVBand="1" w:val="04A0"/>
        <w:tblBorders>
          <w:top w:val="single" w:sz="8" w:color="000000"/>
          <w:bottom w:val="single" w:sz="8" w:color="000000"/>
          <w:left w:val="none" w:sz="0"/>
          <w:right w:val="none" w:sz="0"/>
          <w:insideV w:val="none" w:sz="0"/>
        </w:tblBorders>
      </w:tblPr>
      <w:tblGrid>
        <w:gridCol w:w="3135"/>
        <w:gridCol w:w="3135"/>
        <w:gridCol w:w="3135"/>
      </w:tblGrid>
      <w:tr>
        <w:tc>
          <w:tcPr>
            <w:tcW w:type="dxa" w:w="3135"/>
            <w:tcBorders>
              <w:bottom w:val="single" w:sz="8" w:color="000000"/>
            </w:tcBorders>
          </w:tcPr>
          <w:p>
            <w:pPr>
              <w:spacing w:line="240" w:lineRule="auto" w:after="0"/>
            </w:pPr>
            <w:r>
              <w:rPr>
                <w:rFonts w:ascii="Times New Roman" w:hAnsi="Times New Roman"/>
                <w:b/>
                <w:sz w:val="22"/>
              </w:rPr>
            </w:r>
          </w:p>
        </w:tc>
        <w:tc>
          <w:tcPr>
            <w:tcW w:type="dxa" w:w="3135"/>
            <w:tcBorders>
              <w:bottom w:val="single" w:sz="8" w:color="000000"/>
            </w:tcBorders>
          </w:tcPr>
          <w:p>
            <w:pPr>
              <w:spacing w:line="240" w:lineRule="auto" w:after="0"/>
            </w:pPr>
            <w:r>
              <w:rPr>
                <w:rFonts w:ascii="Times New Roman" w:hAnsi="Times New Roman"/>
                <w:b/>
                <w:sz w:val="22"/>
              </w:rPr>
              <w:t>FinBERT de Araci (2019)</w:t>
            </w:r>
          </w:p>
        </w:tc>
        <w:tc>
          <w:tcPr>
            <w:tcW w:type="dxa" w:w="3135"/>
            <w:tcBorders>
              <w:bottom w:val="single" w:sz="8" w:color="000000"/>
            </w:tcBorders>
          </w:tcPr>
          <w:p>
            <w:pPr>
              <w:spacing w:line="240" w:lineRule="auto" w:after="0"/>
            </w:pPr>
            <w:r>
              <w:rPr>
                <w:rFonts w:ascii="Times New Roman" w:hAnsi="Times New Roman"/>
                <w:b/>
                <w:sz w:val="22"/>
              </w:rPr>
              <w:t>FinBERT de Yang e Huang (2020)</w:t>
            </w:r>
          </w:p>
        </w:tc>
      </w:tr>
      <w:tr>
        <w:tc>
          <w:tcPr>
            <w:tcW w:type="dxa" w:w="3135"/>
          </w:tcPr>
          <w:p>
            <w:pPr>
              <w:spacing w:line="240" w:lineRule="auto" w:after="0"/>
            </w:pPr>
            <w:r>
              <w:rPr>
                <w:rFonts w:ascii="Times New Roman" w:hAnsi="Times New Roman"/>
                <w:b w:val="0"/>
                <w:sz w:val="22"/>
              </w:rPr>
              <w:t>Origem</w:t>
            </w:r>
          </w:p>
        </w:tc>
        <w:tc>
          <w:tcPr>
            <w:tcW w:type="dxa" w:w="3135"/>
          </w:tcPr>
          <w:p>
            <w:pPr>
              <w:spacing w:line="240" w:lineRule="auto" w:after="0"/>
            </w:pPr>
            <w:r>
              <w:rPr>
                <w:rFonts w:ascii="Times New Roman" w:hAnsi="Times New Roman"/>
                <w:b w:val="0"/>
                <w:sz w:val="22"/>
              </w:rPr>
              <w:t>Universidade de Amsterdã</w:t>
            </w:r>
          </w:p>
        </w:tc>
        <w:tc>
          <w:tcPr>
            <w:tcW w:type="dxa" w:w="3135"/>
          </w:tcPr>
          <w:p>
            <w:pPr>
              <w:spacing w:line="240" w:lineRule="auto" w:after="0"/>
            </w:pPr>
            <w:r>
              <w:rPr>
                <w:rFonts w:ascii="Times New Roman" w:hAnsi="Times New Roman"/>
                <w:b w:val="0"/>
                <w:sz w:val="22"/>
              </w:rPr>
              <w:t>HKUST, Hong Kong</w:t>
            </w:r>
          </w:p>
        </w:tc>
      </w:tr>
      <w:tr>
        <w:tc>
          <w:tcPr>
            <w:tcW w:type="dxa" w:w="3135"/>
          </w:tcPr>
          <w:p>
            <w:pPr>
              <w:spacing w:line="240" w:lineRule="auto" w:after="0"/>
            </w:pPr>
            <w:r>
              <w:rPr>
                <w:rFonts w:ascii="Times New Roman" w:hAnsi="Times New Roman"/>
                <w:b w:val="0"/>
                <w:sz w:val="22"/>
              </w:rPr>
              <w:t>Natureza</w:t>
            </w:r>
          </w:p>
        </w:tc>
        <w:tc>
          <w:tcPr>
            <w:tcW w:type="dxa" w:w="3135"/>
          </w:tcPr>
          <w:p>
            <w:pPr>
              <w:spacing w:line="240" w:lineRule="auto" w:after="0"/>
            </w:pPr>
            <w:r>
              <w:rPr>
                <w:rFonts w:ascii="Times New Roman" w:hAnsi="Times New Roman"/>
                <w:b w:val="0"/>
                <w:sz w:val="22"/>
              </w:rPr>
              <w:t>dissertação de mestrado</w:t>
            </w:r>
          </w:p>
        </w:tc>
        <w:tc>
          <w:tcPr>
            <w:tcW w:type="dxa" w:w="3135"/>
          </w:tcPr>
          <w:p>
            <w:pPr>
              <w:spacing w:line="240" w:lineRule="auto" w:after="0"/>
            </w:pPr>
            <w:r>
              <w:rPr>
                <w:rFonts w:ascii="Times New Roman" w:hAnsi="Times New Roman"/>
                <w:b w:val="0"/>
                <w:sz w:val="22"/>
              </w:rPr>
              <w:t>artigo em revista de ponta</w:t>
            </w:r>
          </w:p>
        </w:tc>
      </w:tr>
      <w:tr>
        <w:tc>
          <w:tcPr>
            <w:tcW w:type="dxa" w:w="3135"/>
          </w:tcPr>
          <w:p>
            <w:pPr>
              <w:spacing w:line="240" w:lineRule="auto" w:after="0"/>
            </w:pPr>
            <w:r>
              <w:rPr>
                <w:rFonts w:ascii="Times New Roman" w:hAnsi="Times New Roman"/>
                <w:b w:val="0"/>
                <w:sz w:val="22"/>
              </w:rPr>
              <w:t>Treinado com</w:t>
            </w:r>
          </w:p>
        </w:tc>
        <w:tc>
          <w:tcPr>
            <w:tcW w:type="dxa" w:w="3135"/>
          </w:tcPr>
          <w:p>
            <w:pPr>
              <w:spacing w:line="240" w:lineRule="auto" w:after="0"/>
            </w:pPr>
            <w:r>
              <w:rPr>
                <w:rFonts w:ascii="Times New Roman" w:hAnsi="Times New Roman"/>
                <w:b w:val="0"/>
                <w:sz w:val="22"/>
              </w:rPr>
              <w:t>1,8 milhão de notícias</w:t>
            </w:r>
          </w:p>
        </w:tc>
        <w:tc>
          <w:tcPr>
            <w:tcW w:type="dxa" w:w="3135"/>
          </w:tcPr>
          <w:p>
            <w:pPr>
              <w:spacing w:line="240" w:lineRule="auto" w:after="0"/>
            </w:pPr>
            <w:r>
              <w:rPr>
                <w:rFonts w:ascii="Times New Roman" w:hAnsi="Times New Roman"/>
                <w:b w:val="0"/>
                <w:sz w:val="22"/>
              </w:rPr>
              <w:t>4,9 bilhões de palavras</w:t>
            </w:r>
          </w:p>
        </w:tc>
      </w:tr>
      <w:tr>
        <w:tc>
          <w:tcPr>
            <w:tcW w:type="dxa" w:w="3135"/>
          </w:tcPr>
          <w:p>
            <w:pPr>
              <w:spacing w:line="240" w:lineRule="auto" w:after="0"/>
            </w:pPr>
            <w:r>
              <w:rPr>
                <w:rFonts w:ascii="Times New Roman" w:hAnsi="Times New Roman"/>
                <w:b w:val="0"/>
                <w:sz w:val="22"/>
              </w:rPr>
              <w:t>Downloads/mês</w:t>
            </w:r>
          </w:p>
        </w:tc>
        <w:tc>
          <w:tcPr>
            <w:tcW w:type="dxa" w:w="3135"/>
          </w:tcPr>
          <w:p>
            <w:pPr>
              <w:spacing w:line="240" w:lineRule="auto" w:after="0"/>
            </w:pPr>
            <w:r>
              <w:rPr>
                <w:rFonts w:ascii="Times New Roman" w:hAnsi="Times New Roman"/>
                <w:b w:val="0"/>
                <w:sz w:val="22"/>
              </w:rPr>
              <w:t>4.459.091</w:t>
            </w:r>
          </w:p>
        </w:tc>
        <w:tc>
          <w:tcPr>
            <w:tcW w:type="dxa" w:w="3135"/>
          </w:tcPr>
          <w:p>
            <w:pPr>
              <w:spacing w:line="240" w:lineRule="auto" w:after="0"/>
            </w:pPr>
            <w:r>
              <w:rPr>
                <w:rFonts w:ascii="Times New Roman" w:hAnsi="Times New Roman"/>
                <w:b w:val="0"/>
                <w:sz w:val="22"/>
              </w:rPr>
              <w:t>704.839</w:t>
            </w:r>
          </w:p>
        </w:tc>
      </w:tr>
      <w:tr>
        <w:tc>
          <w:tcPr>
            <w:tcW w:type="dxa" w:w="3135"/>
          </w:tcPr>
          <w:p>
            <w:pPr>
              <w:spacing w:line="240" w:lineRule="auto" w:after="0"/>
            </w:pPr>
            <w:r>
              <w:rPr>
                <w:rFonts w:ascii="Times New Roman" w:hAnsi="Times New Roman"/>
                <w:b w:val="0"/>
                <w:sz w:val="22"/>
              </w:rPr>
              <w:t>Citações</w:t>
            </w:r>
          </w:p>
        </w:tc>
        <w:tc>
          <w:tcPr>
            <w:tcW w:type="dxa" w:w="3135"/>
          </w:tcPr>
          <w:p>
            <w:pPr>
              <w:spacing w:line="240" w:lineRule="auto" w:after="0"/>
            </w:pPr>
            <w:r>
              <w:rPr>
                <w:rFonts w:ascii="Times New Roman" w:hAnsi="Times New Roman"/>
                <w:b w:val="0"/>
                <w:sz w:val="22"/>
              </w:rPr>
              <w:t>778</w:t>
            </w:r>
          </w:p>
        </w:tc>
        <w:tc>
          <w:tcPr>
            <w:tcW w:type="dxa" w:w="3135"/>
          </w:tcPr>
          <w:p>
            <w:pPr>
              <w:spacing w:line="240" w:lineRule="auto" w:after="0"/>
            </w:pPr>
            <w:r>
              <w:rPr>
                <w:rFonts w:ascii="Times New Roman" w:hAnsi="Times New Roman"/>
                <w:b w:val="0"/>
                <w:sz w:val="22"/>
              </w:rPr>
              <w:t>não recuperado</w:t>
            </w:r>
          </w:p>
        </w:tc>
      </w:tr>
    </w:tbl>
    <w:p>
      <w:pPr>
        <w:spacing w:line="240" w:lineRule="auto" w:before="40" w:after="120"/>
        <w:jc w:val="center"/>
      </w:pPr>
      <w:r>
        <w:rPr>
          <w:rFonts w:ascii="Times New Roman" w:hAnsi="Times New Roman"/>
          <w:i w:val="0"/>
          <w:sz w:val="20"/>
        </w:rPr>
        <w:t>Fonte: Elaborado pelo autor (2026). Consulta em 13/08/2026..</w:t>
      </w:r>
    </w:p>
    <w:p/>
    <w:p>
      <w:pPr>
        <w:spacing w:line="360" w:lineRule="auto" w:after="120"/>
        <w:ind w:firstLine="709"/>
        <w:jc w:val="both"/>
      </w:pPr>
      <w:r>
        <w:rPr>
          <w:rFonts w:ascii="Times New Roman" w:hAnsi="Times New Roman"/>
          <w:sz w:val="24"/>
        </w:rPr>
      </w:r>
      <w:r>
        <w:rPr>
          <w:rFonts w:ascii="Times New Roman" w:hAnsi="Times New Roman"/>
          <w:b/>
          <w:sz w:val="24"/>
        </w:rPr>
        <w:t>Dois detalhes que valem ouro para você:</w:t>
      </w:r>
      <w:r>
        <w:rPr>
          <w:rFonts w:ascii="Times New Roman" w:hAnsi="Times New Roman"/>
          <w:sz w:val="24"/>
        </w:rPr>
      </w:r>
    </w:p>
    <w:p>
      <w:pPr>
        <w:spacing w:line="360" w:lineRule="auto" w:after="120"/>
        <w:ind w:firstLine="709"/>
        <w:jc w:val="both"/>
      </w:pPr>
      <w:r>
        <w:rPr>
          <w:rFonts w:ascii="Times New Roman" w:hAnsi="Times New Roman"/>
          <w:sz w:val="24"/>
        </w:rPr>
      </w:r>
      <w:r>
        <w:rPr>
          <w:rFonts w:ascii="Times New Roman" w:hAnsi="Times New Roman"/>
          <w:b/>
          <w:sz w:val="24"/>
        </w:rPr>
        <w:t>Primeiro:</w:t>
      </w:r>
      <w:r>
        <w:rPr>
          <w:rFonts w:ascii="Times New Roman" w:hAnsi="Times New Roman"/>
          <w:sz w:val="24"/>
        </w:rPr>
        <w:t xml:space="preserve"> o modelo mais baixado do mundo inteiro na área — 4,5 milhões de downloads por mês — nasceu como </w:t>
      </w:r>
      <w:r>
        <w:rPr>
          <w:rFonts w:ascii="Times New Roman" w:hAnsi="Times New Roman"/>
          <w:b/>
          <w:sz w:val="24"/>
        </w:rPr>
        <w:t>uma dissertação de mestrado</w:t>
      </w:r>
      <w:r>
        <w:rPr>
          <w:rFonts w:ascii="Times New Roman" w:hAnsi="Times New Roman"/>
          <w:sz w:val="24"/>
        </w:rPr>
        <w:t>. Exatamente o que você está escrevendo. Vale lembrar disso quando bater o desânimo.</w:t>
      </w:r>
    </w:p>
    <w:p>
      <w:pPr>
        <w:spacing w:line="360" w:lineRule="auto" w:after="120"/>
        <w:ind w:firstLine="709"/>
        <w:jc w:val="both"/>
      </w:pPr>
      <w:r>
        <w:rPr>
          <w:rFonts w:ascii="Times New Roman" w:hAnsi="Times New Roman"/>
          <w:sz w:val="24"/>
        </w:rPr>
      </w:r>
      <w:r>
        <w:rPr>
          <w:rFonts w:ascii="Times New Roman" w:hAnsi="Times New Roman"/>
          <w:b/>
          <w:sz w:val="24"/>
        </w:rPr>
        <w:t>Segundo, e este é técnico mas importante:</w:t>
      </w:r>
      <w:r>
        <w:rPr>
          <w:rFonts w:ascii="Times New Roman" w:hAnsi="Times New Roman"/>
          <w:sz w:val="24"/>
        </w:rPr>
        <w:t xml:space="preserve"> o modelo inglês converte todo texto para minúsculas antes de ler. Por isso ele é </w:t>
      </w:r>
      <w:r>
        <w:rPr>
          <w:rFonts w:ascii="Times New Roman" w:hAnsi="Times New Roman"/>
          <w:b/>
          <w:sz w:val="24"/>
        </w:rPr>
        <w:t>imune</w:t>
      </w:r>
      <w:r>
        <w:rPr>
          <w:rFonts w:ascii="Times New Roman" w:hAnsi="Times New Roman"/>
          <w:sz w:val="24"/>
        </w:rPr>
        <w:t xml:space="preserve"> àquele problema das 21.619 manchetes em CAIXA ALTA que descobrimos quebrando o modelo brasileiro. O autor do modelo em inglês tomou uma decisão de projeto que o autor brasileiro não copiou. </w:t>
      </w:r>
      <w:r>
        <w:rPr>
          <w:rFonts w:ascii="Times New Roman" w:hAnsi="Times New Roman"/>
          <w:b/>
          <w:sz w:val="24"/>
        </w:rPr>
        <w:t>Isso é um achado nosso, e é publicável.</w:t>
      </w:r>
      <w:r>
        <w:rPr>
          <w:rFonts w:ascii="Times New Roman" w:hAnsi="Times New Roman"/>
          <w:sz w:val="24"/>
        </w:rPr>
      </w:r>
    </w:p>
    <w:p>
      <w:pPr>
        <w:keepNext/>
        <w:spacing w:before="360" w:after="120"/>
      </w:pPr>
      <w:r>
        <w:rPr>
          <w:rFonts w:ascii="Times New Roman" w:hAnsi="Times New Roman"/>
          <w:b/>
          <w:sz w:val="24"/>
        </w:rPr>
        <w:t>3 TAREFA 2 — QUEM CITA ESSES MODELOS</w:t>
      </w:r>
    </w:p>
    <w:p>
      <w:pPr>
        <w:spacing w:line="360" w:lineRule="auto" w:after="120"/>
        <w:ind w:firstLine="709"/>
        <w:jc w:val="both"/>
      </w:pPr>
      <w:r>
        <w:rPr>
          <w:rFonts w:ascii="Times New Roman" w:hAnsi="Times New Roman"/>
          <w:sz w:val="24"/>
        </w:rPr>
        <w:t xml:space="preserve">Muita gente. Mas em vez de listar centenas de nomes, separei os </w:t>
      </w:r>
      <w:r>
        <w:rPr>
          <w:rFonts w:ascii="Times New Roman" w:hAnsi="Times New Roman"/>
          <w:b/>
          <w:sz w:val="24"/>
        </w:rPr>
        <w:t>dois trabalhos que fazem exatamente o que você faz</w:t>
      </w:r>
      <w:r>
        <w:rPr>
          <w:rFonts w:ascii="Times New Roman" w:hAnsi="Times New Roman"/>
          <w:sz w:val="24"/>
        </w:rPr>
        <w:t>. Eles são muito mais úteis que uma lista.</w:t>
      </w:r>
    </w:p>
    <w:p>
      <w:pPr>
        <w:keepNext/>
        <w:spacing w:before="240" w:after="120"/>
      </w:pPr>
      <w:r>
        <w:rPr>
          <w:rFonts w:ascii="Times New Roman" w:hAnsi="Times New Roman"/>
          <w:b/>
          <w:sz w:val="24"/>
        </w:rPr>
        <w:t>3.1 O trabalho que faz o mesmo e CONSEGUE o que não conseguimos</w:t>
      </w:r>
    </w:p>
    <w:p>
      <w:pPr>
        <w:spacing w:line="360" w:lineRule="auto" w:after="120"/>
        <w:ind w:firstLine="709"/>
        <w:jc w:val="both"/>
      </w:pPr>
      <w:r>
        <w:rPr>
          <w:rFonts w:ascii="Times New Roman" w:hAnsi="Times New Roman"/>
          <w:sz w:val="24"/>
        </w:rPr>
        <w:t xml:space="preserve">Halousková e Lyócsa (2025) usam FinBERT para extrair sentimento e o modelo HAR como adversário — </w:t>
      </w:r>
      <w:r>
        <w:rPr>
          <w:rFonts w:ascii="Times New Roman" w:hAnsi="Times New Roman"/>
          <w:b/>
          <w:sz w:val="24"/>
        </w:rPr>
        <w:t>exatamente o desenho da nossa Seção 4.k</w:t>
      </w:r>
      <w:r>
        <w:rPr>
          <w:rFonts w:ascii="Times New Roman" w:hAnsi="Times New Roman"/>
          <w:sz w:val="24"/>
        </w:rPr>
        <w:t>. Só que:</w:t>
      </w:r>
    </w:p>
    <w:p>
      <w:pPr>
        <w:pStyle w:val="ListBullet"/>
        <w:spacing w:line="360" w:lineRule="auto"/>
      </w:pPr>
      <w:r>
        <w:rPr>
          <w:rFonts w:ascii="Times New Roman" w:hAnsi="Times New Roman"/>
          <w:sz w:val="24"/>
        </w:rPr>
        <w:t xml:space="preserve">Eles </w:t>
      </w:r>
      <w:r>
        <w:rPr>
          <w:rFonts w:ascii="Times New Roman" w:hAnsi="Times New Roman"/>
          <w:b/>
          <w:sz w:val="24"/>
        </w:rPr>
        <w:t>superam o HAR em 98,76% dos casos</w:t>
      </w:r>
      <w:r>
        <w:rPr>
          <w:rFonts w:ascii="Times New Roman" w:hAnsi="Times New Roman"/>
          <w:sz w:val="24"/>
        </w:rPr>
        <w:t>, com melhora média de 12,74%.</w:t>
      </w:r>
    </w:p>
    <w:p>
      <w:pPr>
        <w:pStyle w:val="ListBullet"/>
        <w:spacing w:line="360" w:lineRule="auto"/>
      </w:pPr>
      <w:r>
        <w:rPr>
          <w:rFonts w:ascii="Times New Roman" w:hAnsi="Times New Roman"/>
          <w:sz w:val="24"/>
        </w:rPr>
        <w:t xml:space="preserve">Nós </w:t>
      </w:r>
      <w:r>
        <w:rPr>
          <w:rFonts w:ascii="Times New Roman" w:hAnsi="Times New Roman"/>
          <w:b/>
          <w:sz w:val="24"/>
        </w:rPr>
        <w:t>não superamos</w:t>
      </w:r>
      <w:r>
        <w:rPr>
          <w:rFonts w:ascii="Times New Roman" w:hAnsi="Times New Roman"/>
          <w:sz w:val="24"/>
        </w:rPr>
        <w:t xml:space="preserve"> (p = 0,64).</w:t>
      </w:r>
    </w:p>
    <w:p>
      <w:pPr>
        <w:spacing w:line="360" w:lineRule="auto" w:after="120"/>
        <w:ind w:firstLine="709"/>
        <w:jc w:val="both"/>
      </w:pPr>
      <w:r>
        <w:rPr>
          <w:rFonts w:ascii="Times New Roman" w:hAnsi="Times New Roman"/>
          <w:sz w:val="24"/>
        </w:rPr>
        <w:t>Isso incomoda, e é para incomodar. Mas fui atrás do porquê, e as diferenças são concretas — não é que eles tenham um segredo:</w:t>
      </w:r>
    </w:p>
    <w:p>
      <w:pPr>
        <w:spacing w:line="240" w:lineRule="auto" w:before="120" w:after="40"/>
        <w:jc w:val="center"/>
      </w:pPr>
      <w:r>
        <w:rPr>
          <w:rFonts w:ascii="Times New Roman" w:hAnsi="Times New Roman"/>
          <w:sz w:val="20"/>
        </w:rPr>
        <w:t>Tabela 3 – Por que eles conseguem e nós não</w:t>
      </w:r>
    </w:p>
    <w:tbl>
      <w:tblPr>
        <w:tblW w:type="auto" w:w="0"/>
        <w:jc w:val="center"/>
        <w:tblLook w:firstColumn="1" w:firstRow="1" w:lastColumn="0" w:lastRow="0" w:noHBand="0" w:noVBand="1" w:val="04A0"/>
        <w:tblBorders>
          <w:top w:val="single" w:sz="8" w:color="000000"/>
          <w:bottom w:val="single" w:sz="8" w:color="000000"/>
          <w:left w:val="none" w:sz="0"/>
          <w:right w:val="none" w:sz="0"/>
          <w:insideV w:val="none" w:sz="0"/>
        </w:tblBorders>
      </w:tblPr>
      <w:tblGrid>
        <w:gridCol w:w="2351"/>
        <w:gridCol w:w="2351"/>
        <w:gridCol w:w="2351"/>
        <w:gridCol w:w="2351"/>
      </w:tblGrid>
      <w:tr>
        <w:tc>
          <w:tcPr>
            <w:tcW w:type="dxa" w:w="2351"/>
            <w:tcBorders>
              <w:bottom w:val="single" w:sz="8" w:color="000000"/>
            </w:tcBorders>
          </w:tcPr>
          <w:p>
            <w:pPr>
              <w:spacing w:line="240" w:lineRule="auto" w:after="0"/>
            </w:pPr>
            <w:r>
              <w:rPr>
                <w:rFonts w:ascii="Times New Roman" w:hAnsi="Times New Roman"/>
                <w:b/>
                <w:sz w:val="22"/>
              </w:rPr>
              <w:t>O que muda</w:t>
            </w:r>
          </w:p>
        </w:tc>
        <w:tc>
          <w:tcPr>
            <w:tcW w:type="dxa" w:w="2351"/>
            <w:tcBorders>
              <w:bottom w:val="single" w:sz="8" w:color="000000"/>
            </w:tcBorders>
          </w:tcPr>
          <w:p>
            <w:pPr>
              <w:spacing w:line="240" w:lineRule="auto" w:after="0"/>
            </w:pPr>
            <w:r>
              <w:rPr>
                <w:rFonts w:ascii="Times New Roman" w:hAnsi="Times New Roman"/>
                <w:b/>
                <w:sz w:val="22"/>
              </w:rPr>
              <w:t>Eles</w:t>
            </w:r>
          </w:p>
        </w:tc>
        <w:tc>
          <w:tcPr>
            <w:tcW w:type="dxa" w:w="2351"/>
            <w:tcBorders>
              <w:bottom w:val="single" w:sz="8" w:color="000000"/>
            </w:tcBorders>
          </w:tcPr>
          <w:p>
            <w:pPr>
              <w:spacing w:line="240" w:lineRule="auto" w:after="0"/>
            </w:pPr>
            <w:r>
              <w:rPr>
                <w:rFonts w:ascii="Times New Roman" w:hAnsi="Times New Roman"/>
                <w:b/>
                <w:sz w:val="22"/>
              </w:rPr>
              <w:t>Nós</w:t>
            </w:r>
          </w:p>
        </w:tc>
        <w:tc>
          <w:tcPr>
            <w:tcW w:type="dxa" w:w="2351"/>
            <w:tcBorders>
              <w:bottom w:val="single" w:sz="8" w:color="000000"/>
            </w:tcBorders>
          </w:tcPr>
          <w:p>
            <w:pPr>
              <w:spacing w:line="240" w:lineRule="auto" w:after="0"/>
            </w:pPr>
            <w:r>
              <w:rPr>
                <w:rFonts w:ascii="Times New Roman" w:hAnsi="Times New Roman"/>
                <w:b/>
                <w:sz w:val="22"/>
              </w:rPr>
              <w:t>Dá para corrigir?</w:t>
            </w:r>
          </w:p>
        </w:tc>
      </w:tr>
      <w:tr>
        <w:tc>
          <w:tcPr>
            <w:tcW w:type="dxa" w:w="2351"/>
          </w:tcPr>
          <w:p>
            <w:pPr>
              <w:spacing w:line="240" w:lineRule="auto" w:after="0"/>
            </w:pPr>
            <w:r>
              <w:rPr>
                <w:rFonts w:ascii="Times New Roman" w:hAnsi="Times New Roman"/>
                <w:b w:val="0"/>
                <w:sz w:val="22"/>
              </w:rPr>
              <w:t>Quantos ativos</w:t>
            </w:r>
          </w:p>
        </w:tc>
        <w:tc>
          <w:tcPr>
            <w:tcW w:type="dxa" w:w="2351"/>
          </w:tcPr>
          <w:p>
            <w:pPr>
              <w:spacing w:line="240" w:lineRule="auto" w:after="0"/>
            </w:pPr>
            <w:r>
              <w:rPr>
                <w:rFonts w:ascii="Times New Roman" w:hAnsi="Times New Roman"/>
                <w:b w:val="0"/>
                <w:sz w:val="22"/>
              </w:rPr>
              <w:t>404 ações</w:t>
            </w:r>
          </w:p>
        </w:tc>
        <w:tc>
          <w:tcPr>
            <w:tcW w:type="dxa" w:w="2351"/>
          </w:tcPr>
          <w:p>
            <w:pPr>
              <w:spacing w:line="240" w:lineRule="auto" w:after="0"/>
            </w:pPr>
            <w:r>
              <w:rPr>
                <w:rFonts w:ascii="Times New Roman" w:hAnsi="Times New Roman"/>
                <w:b w:val="0"/>
                <w:sz w:val="22"/>
              </w:rPr>
              <w:t>1 ação</w:t>
            </w:r>
          </w:p>
        </w:tc>
        <w:tc>
          <w:tcPr>
            <w:tcW w:type="dxa" w:w="2351"/>
          </w:tcPr>
          <w:p>
            <w:pPr>
              <w:spacing w:line="240" w:lineRule="auto" w:after="0"/>
            </w:pPr>
            <w:r>
              <w:rPr>
                <w:rFonts w:ascii="Times New Roman" w:hAnsi="Times New Roman"/>
                <w:b w:val="0"/>
                <w:sz w:val="22"/>
              </w:rPr>
              <w:t>SIM</w:t>
            </w:r>
          </w:p>
        </w:tc>
      </w:tr>
      <w:tr>
        <w:tc>
          <w:tcPr>
            <w:tcW w:type="dxa" w:w="2351"/>
          </w:tcPr>
          <w:p>
            <w:pPr>
              <w:spacing w:line="240" w:lineRule="auto" w:after="0"/>
            </w:pPr>
            <w:r>
              <w:rPr>
                <w:rFonts w:ascii="Times New Roman" w:hAnsi="Times New Roman"/>
                <w:b w:val="0"/>
                <w:sz w:val="22"/>
              </w:rPr>
              <w:t>Medida do sacolejo</w:t>
            </w:r>
          </w:p>
        </w:tc>
        <w:tc>
          <w:tcPr>
            <w:tcW w:type="dxa" w:w="2351"/>
          </w:tcPr>
          <w:p>
            <w:pPr>
              <w:spacing w:line="240" w:lineRule="auto" w:after="0"/>
            </w:pPr>
            <w:r>
              <w:rPr>
                <w:rFonts w:ascii="Times New Roman" w:hAnsi="Times New Roman"/>
                <w:b w:val="0"/>
                <w:sz w:val="22"/>
              </w:rPr>
              <w:t>de 5 em 5 minutos</w:t>
            </w:r>
          </w:p>
        </w:tc>
        <w:tc>
          <w:tcPr>
            <w:tcW w:type="dxa" w:w="2351"/>
          </w:tcPr>
          <w:p>
            <w:pPr>
              <w:spacing w:line="240" w:lineRule="auto" w:after="0"/>
            </w:pPr>
            <w:r>
              <w:rPr>
                <w:rFonts w:ascii="Times New Roman" w:hAnsi="Times New Roman"/>
                <w:b w:val="0"/>
                <w:sz w:val="22"/>
              </w:rPr>
              <w:t>1 vez por dia</w:t>
            </w:r>
          </w:p>
        </w:tc>
        <w:tc>
          <w:tcPr>
            <w:tcW w:type="dxa" w:w="2351"/>
          </w:tcPr>
          <w:p>
            <w:pPr>
              <w:spacing w:line="240" w:lineRule="auto" w:after="0"/>
            </w:pPr>
            <w:r>
              <w:rPr>
                <w:rFonts w:ascii="Times New Roman" w:hAnsi="Times New Roman"/>
                <w:b w:val="0"/>
                <w:sz w:val="22"/>
              </w:rPr>
              <w:t>só com dados intradiários</w:t>
            </w:r>
          </w:p>
        </w:tc>
      </w:tr>
      <w:tr>
        <w:tc>
          <w:tcPr>
            <w:tcW w:type="dxa" w:w="2351"/>
          </w:tcPr>
          <w:p>
            <w:pPr>
              <w:spacing w:line="240" w:lineRule="auto" w:after="0"/>
            </w:pPr>
            <w:r>
              <w:rPr>
                <w:rFonts w:ascii="Times New Roman" w:hAnsi="Times New Roman"/>
                <w:b w:val="0"/>
                <w:sz w:val="22"/>
              </w:rPr>
              <w:t>Como combinam</w:t>
            </w:r>
          </w:p>
        </w:tc>
        <w:tc>
          <w:tcPr>
            <w:tcW w:type="dxa" w:w="2351"/>
          </w:tcPr>
          <w:p>
            <w:pPr>
              <w:spacing w:line="240" w:lineRule="auto" w:after="0"/>
            </w:pPr>
            <w:r>
              <w:rPr>
                <w:rFonts w:ascii="Times New Roman" w:hAnsi="Times New Roman"/>
                <w:b w:val="0"/>
                <w:sz w:val="22"/>
              </w:rPr>
              <w:t>métodos sofisticados</w:t>
            </w:r>
          </w:p>
        </w:tc>
        <w:tc>
          <w:tcPr>
            <w:tcW w:type="dxa" w:w="2351"/>
          </w:tcPr>
          <w:p>
            <w:pPr>
              <w:spacing w:line="240" w:lineRule="auto" w:after="0"/>
            </w:pPr>
            <w:r>
              <w:rPr>
                <w:rFonts w:ascii="Times New Roman" w:hAnsi="Times New Roman"/>
                <w:b w:val="0"/>
                <w:sz w:val="22"/>
              </w:rPr>
              <w:t>soma simples</w:t>
            </w:r>
          </w:p>
        </w:tc>
        <w:tc>
          <w:tcPr>
            <w:tcW w:type="dxa" w:w="2351"/>
          </w:tcPr>
          <w:p>
            <w:pPr>
              <w:spacing w:line="240" w:lineRule="auto" w:after="0"/>
            </w:pPr>
            <w:r>
              <w:rPr>
                <w:rFonts w:ascii="Times New Roman" w:hAnsi="Times New Roman"/>
                <w:b w:val="0"/>
                <w:sz w:val="22"/>
              </w:rPr>
              <w:t>SIM, é só código</w:t>
            </w:r>
          </w:p>
        </w:tc>
      </w:tr>
      <w:tr>
        <w:tc>
          <w:tcPr>
            <w:tcW w:type="dxa" w:w="2351"/>
          </w:tcPr>
          <w:p>
            <w:pPr>
              <w:spacing w:line="240" w:lineRule="auto" w:after="0"/>
            </w:pPr>
            <w:r>
              <w:rPr>
                <w:rFonts w:ascii="Times New Roman" w:hAnsi="Times New Roman"/>
                <w:b w:val="0"/>
                <w:sz w:val="22"/>
              </w:rPr>
              <w:t>Fontes de sinal</w:t>
            </w:r>
          </w:p>
        </w:tc>
        <w:tc>
          <w:tcPr>
            <w:tcW w:type="dxa" w:w="2351"/>
          </w:tcPr>
          <w:p>
            <w:pPr>
              <w:spacing w:line="240" w:lineRule="auto" w:after="0"/>
            </w:pPr>
            <w:r>
              <w:rPr>
                <w:rFonts w:ascii="Times New Roman" w:hAnsi="Times New Roman"/>
                <w:b w:val="0"/>
                <w:sz w:val="22"/>
              </w:rPr>
              <w:t>notícias + Google + Twitter</w:t>
            </w:r>
          </w:p>
        </w:tc>
        <w:tc>
          <w:tcPr>
            <w:tcW w:type="dxa" w:w="2351"/>
          </w:tcPr>
          <w:p>
            <w:pPr>
              <w:spacing w:line="240" w:lineRule="auto" w:after="0"/>
            </w:pPr>
            <w:r>
              <w:rPr>
                <w:rFonts w:ascii="Times New Roman" w:hAnsi="Times New Roman"/>
                <w:b w:val="0"/>
                <w:sz w:val="22"/>
              </w:rPr>
              <w:t>só notícias</w:t>
            </w:r>
          </w:p>
        </w:tc>
        <w:tc>
          <w:tcPr>
            <w:tcW w:type="dxa" w:w="2351"/>
          </w:tcPr>
          <w:p>
            <w:pPr>
              <w:spacing w:line="240" w:lineRule="auto" w:after="0"/>
            </w:pPr>
            <w:r>
              <w:rPr>
                <w:rFonts w:ascii="Times New Roman" w:hAnsi="Times New Roman"/>
                <w:b w:val="0"/>
                <w:sz w:val="22"/>
              </w:rPr>
              <w:t>em parte</w:t>
            </w:r>
          </w:p>
        </w:tc>
      </w:tr>
    </w:tbl>
    <w:p>
      <w:pPr>
        <w:spacing w:line="240" w:lineRule="auto" w:before="40" w:after="120"/>
        <w:jc w:val="center"/>
      </w:pPr>
      <w:r>
        <w:rPr>
          <w:rFonts w:ascii="Times New Roman" w:hAnsi="Times New Roman"/>
          <w:i w:val="0"/>
          <w:sz w:val="20"/>
        </w:rPr>
        <w:t>Fonte: Elaborado pelo autor (2026).</w:t>
      </w:r>
    </w:p>
    <w:p/>
    <w:p>
      <w:pPr>
        <w:spacing w:line="360" w:lineRule="auto" w:after="120"/>
        <w:ind w:firstLine="709"/>
        <w:jc w:val="both"/>
      </w:pPr>
      <w:r>
        <w:rPr>
          <w:rFonts w:ascii="Times New Roman" w:hAnsi="Times New Roman"/>
          <w:sz w:val="24"/>
        </w:rPr>
      </w:r>
      <w:r>
        <w:rPr>
          <w:rFonts w:ascii="Times New Roman" w:hAnsi="Times New Roman"/>
          <w:b/>
          <w:sz w:val="24"/>
        </w:rPr>
        <w:t>A leitura honesta:</w:t>
      </w:r>
      <w:r>
        <w:rPr>
          <w:rFonts w:ascii="Times New Roman" w:hAnsi="Times New Roman"/>
          <w:sz w:val="24"/>
        </w:rPr>
        <w:t xml:space="preserve"> o nosso resultado negativo pode não significar “o sentimento não serve”. Pode significar </w:t>
      </w:r>
      <w:r>
        <w:rPr>
          <w:rFonts w:ascii="Times New Roman" w:hAnsi="Times New Roman"/>
          <w:b/>
          <w:sz w:val="24"/>
        </w:rPr>
        <w:t>“não temos dados suficientes para detectar”</w:t>
      </w:r>
      <w:r>
        <w:rPr>
          <w:rFonts w:ascii="Times New Roman" w:hAnsi="Times New Roman"/>
          <w:sz w:val="24"/>
        </w:rPr>
        <w:t xml:space="preserve"> — uma ação só, medida grosseira, combinação simples.</w:t>
      </w:r>
    </w:p>
    <w:p>
      <w:pPr>
        <w:spacing w:line="360" w:lineRule="auto" w:after="120"/>
        <w:ind w:firstLine="709"/>
        <w:jc w:val="both"/>
      </w:pPr>
      <w:r>
        <w:rPr>
          <w:rFonts w:ascii="Times New Roman" w:hAnsi="Times New Roman"/>
          <w:sz w:val="24"/>
        </w:rPr>
        <w:t xml:space="preserve">É como tentar ouvir um sussurro numa rua movimentada. O sussurro existe; faltam condições para captá-lo. </w:t>
      </w:r>
      <w:r>
        <w:rPr>
          <w:rFonts w:ascii="Times New Roman" w:hAnsi="Times New Roman"/>
          <w:b/>
          <w:sz w:val="24"/>
        </w:rPr>
        <w:t>E é exatamente por isso que o Professor Emerson mandou abrir o leque para vários ativos — ele estava certo.</w:t>
      </w:r>
      <w:r>
        <w:rPr>
          <w:rFonts w:ascii="Times New Roman" w:hAnsi="Times New Roman"/>
          <w:sz w:val="24"/>
        </w:rPr>
      </w:r>
    </w:p>
    <w:p>
      <w:pPr>
        <w:keepNext/>
        <w:spacing w:before="240" w:after="120"/>
      </w:pPr>
      <w:r>
        <w:rPr>
          <w:rFonts w:ascii="Times New Roman" w:hAnsi="Times New Roman"/>
          <w:b/>
          <w:sz w:val="24"/>
        </w:rPr>
        <w:t>3.2 E o mesmo trabalho CONFIRMA o nosso maior achado</w:t>
      </w:r>
    </w:p>
    <w:p>
      <w:pPr>
        <w:spacing w:line="360" w:lineRule="auto" w:after="120"/>
        <w:ind w:firstLine="709"/>
        <w:jc w:val="both"/>
      </w:pPr>
      <w:r>
        <w:rPr>
          <w:rFonts w:ascii="Times New Roman" w:hAnsi="Times New Roman"/>
          <w:sz w:val="24"/>
        </w:rPr>
        <w:t xml:space="preserve">Aqui vem a melhor parte. Lembra do efeito de cauda — a descoberta de que o sentimento </w:t>
      </w:r>
      <w:r>
        <w:rPr>
          <w:rFonts w:ascii="Times New Roman" w:hAnsi="Times New Roman"/>
          <w:b/>
          <w:sz w:val="24"/>
        </w:rPr>
        <w:t>não move o pregão comum, mas importa nos extremos</w:t>
      </w:r>
      <w:r>
        <w:rPr>
          <w:rFonts w:ascii="Times New Roman" w:hAnsi="Times New Roman"/>
          <w:sz w:val="24"/>
        </w:rPr>
        <w:t>?</w:t>
      </w:r>
    </w:p>
    <w:p>
      <w:pPr>
        <w:spacing w:line="360" w:lineRule="auto" w:after="120"/>
        <w:ind w:firstLine="709"/>
        <w:jc w:val="both"/>
      </w:pPr>
      <w:r>
        <w:rPr>
          <w:rFonts w:ascii="Times New Roman" w:hAnsi="Times New Roman"/>
          <w:sz w:val="24"/>
        </w:rPr>
      </w:r>
      <w:r>
        <w:rPr>
          <w:rFonts w:ascii="Times New Roman" w:hAnsi="Times New Roman"/>
          <w:b/>
          <w:sz w:val="24"/>
        </w:rPr>
        <w:t>Eles acharam a mesma coisa.</w:t>
      </w:r>
      <w:r>
        <w:rPr>
          <w:rFonts w:ascii="Times New Roman" w:hAnsi="Times New Roman"/>
          <w:sz w:val="24"/>
        </w:rPr>
        <w:t xml:space="preserve"> O ganho deles é maior justamente nos dias de variação extrema: </w:t>
      </w:r>
      <w:r>
        <w:rPr>
          <w:rFonts w:ascii="Times New Roman" w:hAnsi="Times New Roman"/>
          <w:b/>
          <w:sz w:val="24"/>
        </w:rPr>
        <w:t>14,99%</w:t>
      </w:r>
      <w:r>
        <w:rPr>
          <w:rFonts w:ascii="Times New Roman" w:hAnsi="Times New Roman"/>
          <w:sz w:val="24"/>
        </w:rPr>
        <w:t>, contra 12,74% na média.</w:t>
      </w:r>
    </w:p>
    <w:p>
      <w:pPr>
        <w:spacing w:line="360" w:lineRule="auto" w:after="120"/>
        <w:ind w:firstLine="709"/>
        <w:jc w:val="both"/>
      </w:pPr>
      <w:r>
        <w:rPr>
          <w:rFonts w:ascii="Times New Roman" w:hAnsi="Times New Roman"/>
          <w:sz w:val="24"/>
        </w:rPr>
        <w:t xml:space="preserve">Pense no peso disso. Nós descobrimos aquilo em </w:t>
      </w:r>
      <w:r>
        <w:rPr>
          <w:rFonts w:ascii="Times New Roman" w:hAnsi="Times New Roman"/>
          <w:b/>
          <w:sz w:val="24"/>
        </w:rPr>
        <w:t>uma ação brasileira</w:t>
      </w:r>
      <w:r>
        <w:rPr>
          <w:rFonts w:ascii="Times New Roman" w:hAnsi="Times New Roman"/>
          <w:sz w:val="24"/>
        </w:rPr>
        <w:t xml:space="preserve">, com dados diários. Eles descobriram em </w:t>
      </w:r>
      <w:r>
        <w:rPr>
          <w:rFonts w:ascii="Times New Roman" w:hAnsi="Times New Roman"/>
          <w:b/>
          <w:sz w:val="24"/>
        </w:rPr>
        <w:t>404 ações americanas</w:t>
      </w:r>
      <w:r>
        <w:rPr>
          <w:rFonts w:ascii="Times New Roman" w:hAnsi="Times New Roman"/>
          <w:sz w:val="24"/>
        </w:rPr>
        <w:t xml:space="preserve">, com dados de 5 em 5 minutos, outro idioma, outro método estatístico. </w:t>
      </w:r>
      <w:r>
        <w:rPr>
          <w:rFonts w:ascii="Times New Roman" w:hAnsi="Times New Roman"/>
          <w:b/>
          <w:sz w:val="24"/>
        </w:rPr>
        <w:t>Chegamos ao mesmo lugar por caminhos completamente independentes.</w:t>
      </w:r>
      <w:r>
        <w:rPr>
          <w:rFonts w:ascii="Times New Roman" w:hAnsi="Times New Roman"/>
          <w:sz w:val="24"/>
        </w:rPr>
      </w:r>
    </w:p>
    <w:p>
      <w:pPr>
        <w:spacing w:line="360" w:lineRule="auto" w:after="120"/>
        <w:ind w:firstLine="709"/>
        <w:jc w:val="both"/>
      </w:pPr>
      <w:r>
        <w:rPr>
          <w:rFonts w:ascii="Times New Roman" w:hAnsi="Times New Roman"/>
          <w:sz w:val="24"/>
        </w:rPr>
        <w:t xml:space="preserve">Quando isso acontece na ciência, o achado deixa de ser “uma coisa que encontramos” e passa a ser </w:t>
      </w:r>
      <w:r>
        <w:rPr>
          <w:rFonts w:ascii="Times New Roman" w:hAnsi="Times New Roman"/>
          <w:b/>
          <w:sz w:val="24"/>
        </w:rPr>
        <w:t>um fato do fenômeno</w:t>
      </w:r>
      <w:r>
        <w:rPr>
          <w:rFonts w:ascii="Times New Roman" w:hAnsi="Times New Roman"/>
          <w:sz w:val="24"/>
        </w:rPr>
        <w:t>.</w:t>
      </w:r>
    </w:p>
    <w:p>
      <w:pPr>
        <w:keepNext/>
        <w:spacing w:before="240" w:after="120"/>
      </w:pPr>
      <w:r>
        <w:rPr>
          <w:rFonts w:ascii="Times New Roman" w:hAnsi="Times New Roman"/>
          <w:b/>
          <w:sz w:val="24"/>
        </w:rPr>
        <w:t>3.3 O trabalho que faz o mesmo e PARA antes de nós</w:t>
      </w:r>
    </w:p>
    <w:p>
      <w:pPr>
        <w:spacing w:line="360" w:lineRule="auto" w:after="120"/>
        <w:ind w:firstLine="709"/>
        <w:jc w:val="both"/>
      </w:pPr>
      <w:r>
        <w:rPr>
          <w:rFonts w:ascii="Times New Roman" w:hAnsi="Times New Roman"/>
          <w:sz w:val="24"/>
        </w:rPr>
        <w:t xml:space="preserve">Mino e Williamson (2025) usam BERT com GARCH(1,1) t-Student — </w:t>
      </w:r>
      <w:r>
        <w:rPr>
          <w:rFonts w:ascii="Times New Roman" w:hAnsi="Times New Roman"/>
          <w:b/>
          <w:sz w:val="24"/>
        </w:rPr>
        <w:t>o mesmo modelo, item por item, do seu Script 04</w:t>
      </w:r>
      <w:r>
        <w:rPr>
          <w:rFonts w:ascii="Times New Roman" w:hAnsi="Times New Roman"/>
          <w:sz w:val="24"/>
        </w:rPr>
        <w:t>. E olhe o resultado deles ao lado do nosso:</w:t>
      </w:r>
    </w:p>
    <w:p>
      <w:pPr>
        <w:spacing w:line="240" w:lineRule="auto" w:before="120" w:after="40"/>
        <w:jc w:val="center"/>
      </w:pPr>
      <w:r>
        <w:rPr>
          <w:rFonts w:ascii="Times New Roman" w:hAnsi="Times New Roman"/>
          <w:sz w:val="20"/>
        </w:rPr>
        <w:t>Tabela 4 – O coeficiente do sentimento em dois mercados</w:t>
      </w:r>
    </w:p>
    <w:tbl>
      <w:tblPr>
        <w:tblW w:type="auto" w:w="0"/>
        <w:jc w:val="center"/>
        <w:tblLook w:firstColumn="1" w:firstRow="1" w:lastColumn="0" w:lastRow="0" w:noHBand="0" w:noVBand="1" w:val="04A0"/>
        <w:tblBorders>
          <w:top w:val="single" w:sz="8" w:color="000000"/>
          <w:bottom w:val="single" w:sz="8" w:color="000000"/>
          <w:left w:val="none" w:sz="0"/>
          <w:right w:val="none" w:sz="0"/>
          <w:insideV w:val="none" w:sz="0"/>
        </w:tblBorders>
      </w:tblPr>
      <w:tblGrid>
        <w:gridCol w:w="2351"/>
        <w:gridCol w:w="2351"/>
        <w:gridCol w:w="2351"/>
        <w:gridCol w:w="2351"/>
      </w:tblGrid>
      <w:tr>
        <w:tc>
          <w:tcPr>
            <w:tcW w:type="dxa" w:w="2351"/>
            <w:tcBorders>
              <w:bottom w:val="single" w:sz="8" w:color="000000"/>
            </w:tcBorders>
          </w:tcPr>
          <w:p>
            <w:pPr>
              <w:spacing w:line="240" w:lineRule="auto" w:after="0"/>
            </w:pPr>
            <w:r>
              <w:rPr>
                <w:rFonts w:ascii="Times New Roman" w:hAnsi="Times New Roman"/>
                <w:b/>
                <w:sz w:val="22"/>
              </w:rPr>
              <w:t>Estudo</w:t>
            </w:r>
          </w:p>
        </w:tc>
        <w:tc>
          <w:tcPr>
            <w:tcW w:type="dxa" w:w="2351"/>
            <w:tcBorders>
              <w:bottom w:val="single" w:sz="8" w:color="000000"/>
            </w:tcBorders>
          </w:tcPr>
          <w:p>
            <w:pPr>
              <w:spacing w:line="240" w:lineRule="auto" w:after="0"/>
            </w:pPr>
            <w:r>
              <w:rPr>
                <w:rFonts w:ascii="Times New Roman" w:hAnsi="Times New Roman"/>
                <w:b/>
                <w:sz w:val="22"/>
              </w:rPr>
              <w:t>Mercado</w:t>
            </w:r>
          </w:p>
        </w:tc>
        <w:tc>
          <w:tcPr>
            <w:tcW w:type="dxa" w:w="2351"/>
            <w:tcBorders>
              <w:bottom w:val="single" w:sz="8" w:color="000000"/>
            </w:tcBorders>
          </w:tcPr>
          <w:p>
            <w:pPr>
              <w:spacing w:line="240" w:lineRule="auto" w:after="0"/>
            </w:pPr>
            <w:r>
              <w:rPr>
                <w:rFonts w:ascii="Times New Roman" w:hAnsi="Times New Roman"/>
                <w:b/>
                <w:sz w:val="22"/>
              </w:rPr>
              <w:t>Coeficiente</w:t>
            </w:r>
          </w:p>
        </w:tc>
        <w:tc>
          <w:tcPr>
            <w:tcW w:type="dxa" w:w="2351"/>
            <w:tcBorders>
              <w:bottom w:val="single" w:sz="8" w:color="000000"/>
            </w:tcBorders>
          </w:tcPr>
          <w:p>
            <w:pPr>
              <w:spacing w:line="240" w:lineRule="auto" w:after="0"/>
            </w:pPr>
            <w:r>
              <w:rPr>
                <w:rFonts w:ascii="Times New Roman" w:hAnsi="Times New Roman"/>
                <w:b/>
                <w:sz w:val="22"/>
              </w:rPr>
              <w:t>Valor-p</w:t>
            </w:r>
          </w:p>
        </w:tc>
      </w:tr>
      <w:tr>
        <w:tc>
          <w:tcPr>
            <w:tcW w:type="dxa" w:w="2351"/>
          </w:tcPr>
          <w:p>
            <w:pPr>
              <w:spacing w:line="240" w:lineRule="auto" w:after="0"/>
            </w:pPr>
            <w:r>
              <w:rPr>
                <w:rFonts w:ascii="Times New Roman" w:hAnsi="Times New Roman"/>
                <w:b w:val="0"/>
                <w:sz w:val="22"/>
              </w:rPr>
              <w:t>Mino e Williamson (2025)</w:t>
            </w:r>
          </w:p>
        </w:tc>
        <w:tc>
          <w:tcPr>
            <w:tcW w:type="dxa" w:w="2351"/>
          </w:tcPr>
          <w:p>
            <w:pPr>
              <w:spacing w:line="240" w:lineRule="auto" w:after="0"/>
            </w:pPr>
            <w:r>
              <w:rPr>
                <w:rFonts w:ascii="Times New Roman" w:hAnsi="Times New Roman"/>
                <w:b w:val="0"/>
                <w:sz w:val="22"/>
              </w:rPr>
              <w:t>S&amp;P 500 (EUA)</w:t>
            </w:r>
          </w:p>
        </w:tc>
        <w:tc>
          <w:tcPr>
            <w:tcW w:type="dxa" w:w="2351"/>
          </w:tcPr>
          <w:p>
            <w:pPr>
              <w:spacing w:line="240" w:lineRule="auto" w:after="0"/>
            </w:pPr>
            <w:r>
              <w:rPr>
                <w:rFonts w:ascii="Times New Roman" w:hAnsi="Times New Roman"/>
                <w:b w:val="0"/>
                <w:sz w:val="22"/>
              </w:rPr>
              <w:t>−0,2275</w:t>
            </w:r>
          </w:p>
        </w:tc>
        <w:tc>
          <w:tcPr>
            <w:tcW w:type="dxa" w:w="2351"/>
          </w:tcPr>
          <w:p>
            <w:pPr>
              <w:spacing w:line="240" w:lineRule="auto" w:after="0"/>
            </w:pPr>
            <w:r>
              <w:rPr>
                <w:rFonts w:ascii="Times New Roman" w:hAnsi="Times New Roman"/>
                <w:b w:val="0"/>
                <w:sz w:val="22"/>
              </w:rPr>
              <w:t>0,0016</w:t>
            </w:r>
          </w:p>
        </w:tc>
      </w:tr>
      <w:tr>
        <w:tc>
          <w:tcPr>
            <w:tcW w:type="dxa" w:w="2351"/>
          </w:tcPr>
          <w:p>
            <w:pPr>
              <w:spacing w:line="240" w:lineRule="auto" w:after="0"/>
            </w:pPr>
            <w:r>
              <w:rPr>
                <w:rFonts w:ascii="Times New Roman" w:hAnsi="Times New Roman"/>
                <w:b w:val="0"/>
                <w:sz w:val="22"/>
              </w:rPr>
              <w:t>Nossa dissertação</w:t>
            </w:r>
          </w:p>
        </w:tc>
        <w:tc>
          <w:tcPr>
            <w:tcW w:type="dxa" w:w="2351"/>
          </w:tcPr>
          <w:p>
            <w:pPr>
              <w:spacing w:line="240" w:lineRule="auto" w:after="0"/>
            </w:pPr>
            <w:r>
              <w:rPr>
                <w:rFonts w:ascii="Times New Roman" w:hAnsi="Times New Roman"/>
                <w:b w:val="0"/>
                <w:sz w:val="22"/>
              </w:rPr>
              <w:t>PETR4 (Brasil)</w:t>
            </w:r>
          </w:p>
        </w:tc>
        <w:tc>
          <w:tcPr>
            <w:tcW w:type="dxa" w:w="2351"/>
          </w:tcPr>
          <w:p>
            <w:pPr>
              <w:spacing w:line="240" w:lineRule="auto" w:after="0"/>
            </w:pPr>
            <w:r>
              <w:rPr>
                <w:rFonts w:ascii="Times New Roman" w:hAnsi="Times New Roman"/>
                <w:b w:val="0"/>
                <w:sz w:val="22"/>
              </w:rPr>
              <w:t>−0,2924</w:t>
            </w:r>
          </w:p>
        </w:tc>
        <w:tc>
          <w:tcPr>
            <w:tcW w:type="dxa" w:w="2351"/>
          </w:tcPr>
          <w:p>
            <w:pPr>
              <w:spacing w:line="240" w:lineRule="auto" w:after="0"/>
            </w:pPr>
            <w:r>
              <w:rPr>
                <w:rFonts w:ascii="Times New Roman" w:hAnsi="Times New Roman"/>
                <w:b w:val="0"/>
                <w:sz w:val="22"/>
              </w:rPr>
              <w:t>0,0002</w:t>
            </w:r>
          </w:p>
        </w:tc>
      </w:tr>
    </w:tbl>
    <w:p>
      <w:pPr>
        <w:spacing w:line="240" w:lineRule="auto" w:before="40" w:after="120"/>
        <w:jc w:val="center"/>
      </w:pPr>
      <w:r>
        <w:rPr>
          <w:rFonts w:ascii="Times New Roman" w:hAnsi="Times New Roman"/>
          <w:i w:val="0"/>
          <w:sz w:val="20"/>
        </w:rPr>
        <w:t>Fonte: Elaborado pelo autor (2026).</w:t>
      </w:r>
    </w:p>
    <w:p/>
    <w:p>
      <w:pPr>
        <w:spacing w:line="360" w:lineRule="auto" w:after="120"/>
        <w:ind w:firstLine="709"/>
        <w:jc w:val="both"/>
      </w:pPr>
      <w:r>
        <w:rPr>
          <w:rFonts w:ascii="Times New Roman" w:hAnsi="Times New Roman"/>
          <w:sz w:val="24"/>
        </w:rPr>
      </w:r>
      <w:r>
        <w:rPr>
          <w:rFonts w:ascii="Times New Roman" w:hAnsi="Times New Roman"/>
          <w:b/>
          <w:sz w:val="24"/>
        </w:rPr>
        <w:t>Praticamente o mesmo número.</w:t>
      </w:r>
      <w:r>
        <w:rPr>
          <w:rFonts w:ascii="Times New Roman" w:hAnsi="Times New Roman"/>
          <w:sz w:val="24"/>
        </w:rPr>
        <w:t xml:space="preserve"> Dois países, dois idiomas, dois modelos de leitura diferentes, dois períodos diferentes — e a mesma medida: sentimento mais pessimista hoje, mais sacolejo amanhã, com força em torno de −0,25.</w:t>
      </w:r>
    </w:p>
    <w:p>
      <w:pPr>
        <w:spacing w:line="360" w:lineRule="auto" w:after="120"/>
        <w:ind w:firstLine="709"/>
        <w:jc w:val="both"/>
      </w:pPr>
      <w:r>
        <w:rPr>
          <w:rFonts w:ascii="Times New Roman" w:hAnsi="Times New Roman"/>
          <w:sz w:val="24"/>
        </w:rPr>
        <w:t xml:space="preserve">Isso prova que o seu número </w:t>
      </w:r>
      <w:r>
        <w:rPr>
          <w:rFonts w:ascii="Times New Roman" w:hAnsi="Times New Roman"/>
          <w:b/>
          <w:sz w:val="24"/>
        </w:rPr>
        <w:t>não é coincidência do mercado brasileiro</w:t>
      </w:r>
      <w:r>
        <w:rPr>
          <w:rFonts w:ascii="Times New Roman" w:hAnsi="Times New Roman"/>
          <w:sz w:val="24"/>
        </w:rPr>
        <w:t>. É uma medida real do fenômeno.</w:t>
      </w:r>
    </w:p>
    <w:p>
      <w:pPr>
        <w:spacing w:line="360" w:lineRule="auto" w:after="120"/>
        <w:ind w:firstLine="709"/>
        <w:jc w:val="both"/>
      </w:pPr>
      <w:r>
        <w:rPr>
          <w:rFonts w:ascii="Times New Roman" w:hAnsi="Times New Roman"/>
          <w:sz w:val="24"/>
        </w:rPr>
      </w:r>
      <w:r>
        <w:rPr>
          <w:rFonts w:ascii="Times New Roman" w:hAnsi="Times New Roman"/>
          <w:b/>
          <w:sz w:val="24"/>
        </w:rPr>
        <w:t>E agora o ponto que você deve usar na defesa.</w:t>
      </w:r>
      <w:r>
        <w:rPr>
          <w:rFonts w:ascii="Times New Roman" w:hAnsi="Times New Roman"/>
          <w:sz w:val="24"/>
        </w:rPr>
        <w:t xml:space="preserve"> Olhe o que eles NÃO fizeram:</w:t>
      </w:r>
    </w:p>
    <w:p>
      <w:pPr>
        <w:pStyle w:val="ListBullet"/>
        <w:spacing w:line="360" w:lineRule="auto"/>
      </w:pPr>
      <w:r>
        <w:rPr>
          <w:rFonts w:ascii="Times New Roman" w:hAnsi="Times New Roman"/>
          <w:sz w:val="24"/>
        </w:rPr>
      </w:r>
      <w:r>
        <w:rPr>
          <w:rFonts w:ascii="Times New Roman" w:hAnsi="Times New Roman"/>
          <w:b/>
          <w:sz w:val="24"/>
        </w:rPr>
        <w:t>Não testaram fora da amostra.</w:t>
      </w:r>
      <w:r>
        <w:rPr>
          <w:rFonts w:ascii="Times New Roman" w:hAnsi="Times New Roman"/>
          <w:sz w:val="24"/>
        </w:rPr>
        <w:t xml:space="preserve"> Eles só mediram a relação nos dados que usaram para montar o modelo — o equivalente a conferir a prova com o gabarito na mão. Nós fizemos 795 previsões de verdade, sem espiar o futuro.</w:t>
      </w:r>
    </w:p>
    <w:p>
      <w:pPr>
        <w:pStyle w:val="ListBullet"/>
        <w:spacing w:line="360" w:lineRule="auto"/>
      </w:pPr>
      <w:r>
        <w:rPr>
          <w:rFonts w:ascii="Times New Roman" w:hAnsi="Times New Roman"/>
          <w:sz w:val="24"/>
        </w:rPr>
      </w:r>
      <w:r>
        <w:rPr>
          <w:rFonts w:ascii="Times New Roman" w:hAnsi="Times New Roman"/>
          <w:b/>
          <w:sz w:val="24"/>
        </w:rPr>
        <w:t>Não separaram dias de crise de dias normais.</w:t>
      </w:r>
      <w:r>
        <w:rPr>
          <w:rFonts w:ascii="Times New Roman" w:hAnsi="Times New Roman"/>
          <w:sz w:val="24"/>
        </w:rPr>
        <w:t xml:space="preserve"> Declararam isso como limitação. Nós fizemos, e foi daí que saiu o efeito de cauda.</w:t>
      </w:r>
    </w:p>
    <w:p>
      <w:pPr>
        <w:pStyle w:val="ListBullet"/>
        <w:spacing w:line="360" w:lineRule="auto"/>
      </w:pPr>
      <w:r>
        <w:rPr>
          <w:rFonts w:ascii="Times New Roman" w:hAnsi="Times New Roman"/>
          <w:sz w:val="24"/>
        </w:rPr>
      </w:r>
      <w:r>
        <w:rPr>
          <w:rFonts w:ascii="Times New Roman" w:hAnsi="Times New Roman"/>
          <w:b/>
          <w:sz w:val="24"/>
        </w:rPr>
        <w:t>Usaram 105 dias.</w:t>
      </w:r>
      <w:r>
        <w:rPr>
          <w:rFonts w:ascii="Times New Roman" w:hAnsi="Times New Roman"/>
          <w:sz w:val="24"/>
        </w:rPr>
        <w:t xml:space="preserve"> Nós usamos 1.988 pregões.</w:t>
      </w:r>
    </w:p>
    <w:p>
      <w:pPr>
        <w:spacing w:line="360" w:lineRule="auto" w:after="120"/>
        <w:ind w:firstLine="709"/>
        <w:jc w:val="both"/>
      </w:pPr>
      <w:r>
        <w:rPr>
          <w:rFonts w:ascii="Times New Roman" w:hAnsi="Times New Roman"/>
          <w:sz w:val="24"/>
        </w:rPr>
      </w:r>
      <w:r>
        <w:rPr>
          <w:rFonts w:ascii="Times New Roman" w:hAnsi="Times New Roman"/>
          <w:b/>
          <w:sz w:val="24"/>
        </w:rPr>
        <w:t>Eles param exatamente onde nós continuamos.</w:t>
      </w:r>
      <w:r>
        <w:rPr>
          <w:rFonts w:ascii="Times New Roman" w:hAnsi="Times New Roman"/>
          <w:sz w:val="24"/>
        </w:rPr>
        <w:t xml:space="preserve"> E se tivéssemos parado ali, teríamos anunciado sucesso — e estaríamos errados, porque foi ao continuar que descobrimos que aquilo não vira previsão de verdade.</w:t>
      </w:r>
    </w:p>
    <w:p>
      <w:pPr>
        <w:spacing w:line="360" w:lineRule="auto" w:after="120"/>
        <w:ind w:firstLine="709"/>
        <w:jc w:val="both"/>
      </w:pPr>
      <w:r>
        <w:rPr>
          <w:rFonts w:ascii="Times New Roman" w:hAnsi="Times New Roman"/>
          <w:sz w:val="24"/>
        </w:rPr>
      </w:r>
      <w:r>
        <w:rPr>
          <w:rFonts w:ascii="Times New Roman" w:hAnsi="Times New Roman"/>
          <w:b/>
          <w:sz w:val="24"/>
        </w:rPr>
        <w:t>Isso é uma contribuição da sua dissertação, e você deve dizê-la em voz alta:</w:t>
      </w:r>
      <w:r>
        <w:rPr>
          <w:rFonts w:ascii="Times New Roman" w:hAnsi="Times New Roman"/>
          <w:sz w:val="24"/>
        </w:rPr>
        <w:t xml:space="preserve"> você avaliou com mais rigor que trabalhos publicados na mesma linha, e por isso encontrou um limite que eles não encontraram.</w:t>
      </w:r>
    </w:p>
    <w:p>
      <w:pPr>
        <w:keepNext/>
        <w:spacing w:before="360" w:after="120"/>
      </w:pPr>
      <w:r>
        <w:rPr>
          <w:rFonts w:ascii="Times New Roman" w:hAnsi="Times New Roman"/>
          <w:b/>
          <w:sz w:val="24"/>
        </w:rPr>
        <w:t>4 TAREFA 3 — PARA QUE AS PESSOAS USAM ESSES MODELOS</w:t>
      </w:r>
    </w:p>
    <w:p>
      <w:pPr>
        <w:spacing w:line="360" w:lineRule="auto" w:after="120"/>
        <w:ind w:firstLine="709"/>
        <w:jc w:val="both"/>
      </w:pPr>
      <w:r>
        <w:rPr>
          <w:rFonts w:ascii="Times New Roman" w:hAnsi="Times New Roman"/>
          <w:sz w:val="24"/>
        </w:rPr>
        <w:t xml:space="preserve">Encontrei </w:t>
      </w:r>
      <w:r>
        <w:rPr>
          <w:rFonts w:ascii="Times New Roman" w:hAnsi="Times New Roman"/>
          <w:b/>
          <w:sz w:val="24"/>
        </w:rPr>
        <w:t>nove famílias de aplicação</w:t>
      </w:r>
      <w:r>
        <w:rPr>
          <w:rFonts w:ascii="Times New Roman" w:hAnsi="Times New Roman"/>
          <w:sz w:val="24"/>
        </w:rPr>
        <w:t>. A lista completa está no documento técnico; aqui vão as que interessam a você.</w:t>
      </w:r>
    </w:p>
    <w:p>
      <w:pPr>
        <w:spacing w:line="240" w:lineRule="auto" w:before="120" w:after="40"/>
        <w:jc w:val="center"/>
      </w:pPr>
      <w:r>
        <w:rPr>
          <w:rFonts w:ascii="Times New Roman" w:hAnsi="Times New Roman"/>
          <w:sz w:val="20"/>
        </w:rPr>
        <w:t>Tabela 5 – As nove famílias de aplicação</w:t>
      </w:r>
    </w:p>
    <w:tbl>
      <w:tblPr>
        <w:tblW w:type="auto" w:w="0"/>
        <w:jc w:val="center"/>
        <w:tblLook w:firstColumn="1" w:firstRow="1" w:lastColumn="0" w:lastRow="0" w:noHBand="0" w:noVBand="1" w:val="04A0"/>
        <w:tblBorders>
          <w:top w:val="single" w:sz="8" w:color="000000"/>
          <w:bottom w:val="single" w:sz="8" w:color="000000"/>
          <w:left w:val="none" w:sz="0"/>
          <w:right w:val="none" w:sz="0"/>
          <w:insideV w:val="none" w:sz="0"/>
        </w:tblBorders>
      </w:tblPr>
      <w:tblGrid>
        <w:gridCol w:w="3135"/>
        <w:gridCol w:w="3135"/>
        <w:gridCol w:w="3135"/>
      </w:tblGrid>
      <w:tr>
        <w:tc>
          <w:tcPr>
            <w:tcW w:type="dxa" w:w="3135"/>
            <w:tcBorders>
              <w:bottom w:val="single" w:sz="8" w:color="000000"/>
            </w:tcBorders>
          </w:tcPr>
          <w:p>
            <w:pPr>
              <w:spacing w:line="240" w:lineRule="auto" w:after="0"/>
            </w:pPr>
            <w:r>
              <w:rPr>
                <w:rFonts w:ascii="Times New Roman" w:hAnsi="Times New Roman"/>
                <w:b/>
                <w:sz w:val="22"/>
              </w:rPr>
              <w:t>#</w:t>
            </w:r>
          </w:p>
        </w:tc>
        <w:tc>
          <w:tcPr>
            <w:tcW w:type="dxa" w:w="3135"/>
            <w:tcBorders>
              <w:bottom w:val="single" w:sz="8" w:color="000000"/>
            </w:tcBorders>
          </w:tcPr>
          <w:p>
            <w:pPr>
              <w:spacing w:line="240" w:lineRule="auto" w:after="0"/>
            </w:pPr>
            <w:r>
              <w:rPr>
                <w:rFonts w:ascii="Times New Roman" w:hAnsi="Times New Roman"/>
                <w:b/>
                <w:sz w:val="22"/>
              </w:rPr>
              <w:t>Para que usam</w:t>
            </w:r>
          </w:p>
        </w:tc>
        <w:tc>
          <w:tcPr>
            <w:tcW w:type="dxa" w:w="3135"/>
            <w:tcBorders>
              <w:bottom w:val="single" w:sz="8" w:color="000000"/>
            </w:tcBorders>
          </w:tcPr>
          <w:p>
            <w:pPr>
              <w:spacing w:line="240" w:lineRule="auto" w:after="0"/>
            </w:pPr>
            <w:r>
              <w:rPr>
                <w:rFonts w:ascii="Times New Roman" w:hAnsi="Times New Roman"/>
                <w:b/>
                <w:sz w:val="22"/>
              </w:rPr>
              <w:t>Serve para nós?</w:t>
            </w:r>
          </w:p>
        </w:tc>
      </w:tr>
      <w:tr>
        <w:tc>
          <w:tcPr>
            <w:tcW w:type="dxa" w:w="3135"/>
          </w:tcPr>
          <w:p>
            <w:pPr>
              <w:spacing w:line="240" w:lineRule="auto" w:after="0"/>
            </w:pPr>
            <w:r>
              <w:rPr>
                <w:rFonts w:ascii="Times New Roman" w:hAnsi="Times New Roman"/>
                <w:b w:val="0"/>
                <w:sz w:val="22"/>
              </w:rPr>
              <w:t>1</w:t>
            </w:r>
          </w:p>
        </w:tc>
        <w:tc>
          <w:tcPr>
            <w:tcW w:type="dxa" w:w="3135"/>
          </w:tcPr>
          <w:p>
            <w:pPr>
              <w:spacing w:line="240" w:lineRule="auto" w:after="0"/>
            </w:pPr>
            <w:r>
              <w:rPr>
                <w:rFonts w:ascii="Times New Roman" w:hAnsi="Times New Roman"/>
                <w:b w:val="0"/>
                <w:sz w:val="22"/>
              </w:rPr>
              <w:t>Sentimento de notícias e relatórios</w:t>
            </w:r>
          </w:p>
        </w:tc>
        <w:tc>
          <w:tcPr>
            <w:tcW w:type="dxa" w:w="3135"/>
          </w:tcPr>
          <w:p>
            <w:pPr>
              <w:spacing w:line="240" w:lineRule="auto" w:after="0"/>
            </w:pPr>
            <w:r>
              <w:rPr>
                <w:rFonts w:ascii="Times New Roman" w:hAnsi="Times New Roman"/>
                <w:b w:val="0"/>
                <w:sz w:val="22"/>
              </w:rPr>
              <w:t>é o que já fazemos</w:t>
            </w:r>
          </w:p>
        </w:tc>
      </w:tr>
      <w:tr>
        <w:tc>
          <w:tcPr>
            <w:tcW w:type="dxa" w:w="3135"/>
          </w:tcPr>
          <w:p>
            <w:pPr>
              <w:spacing w:line="240" w:lineRule="auto" w:after="0"/>
            </w:pPr>
            <w:r>
              <w:rPr>
                <w:rFonts w:ascii="Times New Roman" w:hAnsi="Times New Roman"/>
                <w:b w:val="0"/>
                <w:sz w:val="22"/>
              </w:rPr>
              <w:t>2</w:t>
            </w:r>
          </w:p>
        </w:tc>
        <w:tc>
          <w:tcPr>
            <w:tcW w:type="dxa" w:w="3135"/>
          </w:tcPr>
          <w:p>
            <w:pPr>
              <w:spacing w:line="240" w:lineRule="auto" w:after="0"/>
            </w:pPr>
            <w:r>
              <w:rPr>
                <w:rFonts w:ascii="Times New Roman" w:hAnsi="Times New Roman"/>
                <w:b w:val="0"/>
                <w:sz w:val="22"/>
              </w:rPr>
              <w:t>Previsão de volatilidade</w:t>
            </w:r>
          </w:p>
        </w:tc>
        <w:tc>
          <w:tcPr>
            <w:tcW w:type="dxa" w:w="3135"/>
          </w:tcPr>
          <w:p>
            <w:pPr>
              <w:spacing w:line="240" w:lineRule="auto" w:after="0"/>
            </w:pPr>
            <w:r>
              <w:rPr>
                <w:rFonts w:ascii="Times New Roman" w:hAnsi="Times New Roman"/>
                <w:b w:val="0"/>
                <w:sz w:val="22"/>
              </w:rPr>
              <w:t>SIM — é o eixo central</w:t>
            </w:r>
          </w:p>
        </w:tc>
      </w:tr>
      <w:tr>
        <w:tc>
          <w:tcPr>
            <w:tcW w:type="dxa" w:w="3135"/>
          </w:tcPr>
          <w:p>
            <w:pPr>
              <w:spacing w:line="240" w:lineRule="auto" w:after="0"/>
            </w:pPr>
            <w:r>
              <w:rPr>
                <w:rFonts w:ascii="Times New Roman" w:hAnsi="Times New Roman"/>
                <w:b w:val="0"/>
                <w:sz w:val="22"/>
              </w:rPr>
              <w:t>3</w:t>
            </w:r>
          </w:p>
        </w:tc>
        <w:tc>
          <w:tcPr>
            <w:tcW w:type="dxa" w:w="3135"/>
          </w:tcPr>
          <w:p>
            <w:pPr>
              <w:spacing w:line="240" w:lineRule="auto" w:after="0"/>
            </w:pPr>
            <w:r>
              <w:rPr>
                <w:rFonts w:ascii="Times New Roman" w:hAnsi="Times New Roman"/>
                <w:b w:val="0"/>
                <w:sz w:val="22"/>
              </w:rPr>
              <w:t>Previsão de preço e direção</w:t>
            </w:r>
          </w:p>
        </w:tc>
        <w:tc>
          <w:tcPr>
            <w:tcW w:type="dxa" w:w="3135"/>
          </w:tcPr>
          <w:p>
            <w:pPr>
              <w:spacing w:line="240" w:lineRule="auto" w:after="0"/>
            </w:pPr>
            <w:r>
              <w:rPr>
                <w:rFonts w:ascii="Times New Roman" w:hAnsi="Times New Roman"/>
                <w:b w:val="0"/>
                <w:sz w:val="22"/>
              </w:rPr>
              <w:t>com ressalva (ver adiante)</w:t>
            </w:r>
          </w:p>
        </w:tc>
      </w:tr>
      <w:tr>
        <w:tc>
          <w:tcPr>
            <w:tcW w:type="dxa" w:w="3135"/>
          </w:tcPr>
          <w:p>
            <w:pPr>
              <w:spacing w:line="240" w:lineRule="auto" w:after="0"/>
            </w:pPr>
            <w:r>
              <w:rPr>
                <w:rFonts w:ascii="Times New Roman" w:hAnsi="Times New Roman"/>
                <w:b w:val="0"/>
                <w:sz w:val="22"/>
              </w:rPr>
              <w:t>4</w:t>
            </w:r>
          </w:p>
        </w:tc>
        <w:tc>
          <w:tcPr>
            <w:tcW w:type="dxa" w:w="3135"/>
          </w:tcPr>
          <w:p>
            <w:pPr>
              <w:spacing w:line="240" w:lineRule="auto" w:after="0"/>
            </w:pPr>
            <w:r>
              <w:rPr>
                <w:rFonts w:ascii="Times New Roman" w:hAnsi="Times New Roman"/>
                <w:b w:val="0"/>
                <w:sz w:val="22"/>
              </w:rPr>
              <w:t>Separar notícia de passado e de futuro</w:t>
            </w:r>
          </w:p>
        </w:tc>
        <w:tc>
          <w:tcPr>
            <w:tcW w:type="dxa" w:w="3135"/>
          </w:tcPr>
          <w:p>
            <w:pPr>
              <w:spacing w:line="240" w:lineRule="auto" w:after="0"/>
            </w:pPr>
            <w:r>
              <w:rPr>
                <w:rFonts w:ascii="Times New Roman" w:hAnsi="Times New Roman"/>
                <w:b w:val="0"/>
                <w:sz w:val="22"/>
              </w:rPr>
              <w:t>SIM — a melhor ideia</w:t>
            </w:r>
          </w:p>
        </w:tc>
      </w:tr>
      <w:tr>
        <w:tc>
          <w:tcPr>
            <w:tcW w:type="dxa" w:w="3135"/>
          </w:tcPr>
          <w:p>
            <w:pPr>
              <w:spacing w:line="240" w:lineRule="auto" w:after="0"/>
            </w:pPr>
            <w:r>
              <w:rPr>
                <w:rFonts w:ascii="Times New Roman" w:hAnsi="Times New Roman"/>
                <w:b w:val="0"/>
                <w:sz w:val="22"/>
              </w:rPr>
              <w:t>5</w:t>
            </w:r>
          </w:p>
        </w:tc>
        <w:tc>
          <w:tcPr>
            <w:tcW w:type="dxa" w:w="3135"/>
          </w:tcPr>
          <w:p>
            <w:pPr>
              <w:spacing w:line="240" w:lineRule="auto" w:after="0"/>
            </w:pPr>
            <w:r>
              <w:rPr>
                <w:rFonts w:ascii="Times New Roman" w:hAnsi="Times New Roman"/>
                <w:b w:val="0"/>
                <w:sz w:val="22"/>
              </w:rPr>
              <w:t>Classificação ESG (ambiental e social)</w:t>
            </w:r>
          </w:p>
        </w:tc>
        <w:tc>
          <w:tcPr>
            <w:tcW w:type="dxa" w:w="3135"/>
          </w:tcPr>
          <w:p>
            <w:pPr>
              <w:spacing w:line="240" w:lineRule="auto" w:after="0"/>
            </w:pPr>
            <w:r>
              <w:rPr>
                <w:rFonts w:ascii="Times New Roman" w:hAnsi="Times New Roman"/>
                <w:b w:val="0"/>
                <w:sz w:val="22"/>
              </w:rPr>
              <w:t>fora do escopo</w:t>
            </w:r>
          </w:p>
        </w:tc>
      </w:tr>
      <w:tr>
        <w:tc>
          <w:tcPr>
            <w:tcW w:type="dxa" w:w="3135"/>
          </w:tcPr>
          <w:p>
            <w:pPr>
              <w:spacing w:line="240" w:lineRule="auto" w:after="0"/>
            </w:pPr>
            <w:r>
              <w:rPr>
                <w:rFonts w:ascii="Times New Roman" w:hAnsi="Times New Roman"/>
                <w:b w:val="0"/>
                <w:sz w:val="22"/>
              </w:rPr>
              <w:t>6</w:t>
            </w:r>
          </w:p>
        </w:tc>
        <w:tc>
          <w:tcPr>
            <w:tcW w:type="dxa" w:w="3135"/>
          </w:tcPr>
          <w:p>
            <w:pPr>
              <w:spacing w:line="240" w:lineRule="auto" w:after="0"/>
            </w:pPr>
            <w:r>
              <w:rPr>
                <w:rFonts w:ascii="Times New Roman" w:hAnsi="Times New Roman"/>
                <w:b w:val="0"/>
                <w:sz w:val="22"/>
              </w:rPr>
              <w:t>Montagem de carteira de investimento</w:t>
            </w:r>
          </w:p>
        </w:tc>
        <w:tc>
          <w:tcPr>
            <w:tcW w:type="dxa" w:w="3135"/>
          </w:tcPr>
          <w:p>
            <w:pPr>
              <w:spacing w:line="240" w:lineRule="auto" w:after="0"/>
            </w:pPr>
            <w:r>
              <w:rPr>
                <w:rFonts w:ascii="Times New Roman" w:hAnsi="Times New Roman"/>
                <w:b w:val="0"/>
                <w:sz w:val="22"/>
              </w:rPr>
              <w:t>trabalho futuro</w:t>
            </w:r>
          </w:p>
        </w:tc>
      </w:tr>
      <w:tr>
        <w:tc>
          <w:tcPr>
            <w:tcW w:type="dxa" w:w="3135"/>
          </w:tcPr>
          <w:p>
            <w:pPr>
              <w:spacing w:line="240" w:lineRule="auto" w:after="0"/>
            </w:pPr>
            <w:r>
              <w:rPr>
                <w:rFonts w:ascii="Times New Roman" w:hAnsi="Times New Roman"/>
                <w:b w:val="0"/>
                <w:sz w:val="22"/>
              </w:rPr>
              <w:t>7</w:t>
            </w:r>
          </w:p>
        </w:tc>
        <w:tc>
          <w:tcPr>
            <w:tcW w:type="dxa" w:w="3135"/>
          </w:tcPr>
          <w:p>
            <w:pPr>
              <w:spacing w:line="240" w:lineRule="auto" w:after="0"/>
            </w:pPr>
            <w:r>
              <w:rPr>
                <w:rFonts w:ascii="Times New Roman" w:hAnsi="Times New Roman"/>
                <w:b w:val="0"/>
                <w:sz w:val="22"/>
              </w:rPr>
              <w:t>Comunicados de bancos centrais</w:t>
            </w:r>
          </w:p>
        </w:tc>
        <w:tc>
          <w:tcPr>
            <w:tcW w:type="dxa" w:w="3135"/>
          </w:tcPr>
          <w:p>
            <w:pPr>
              <w:spacing w:line="240" w:lineRule="auto" w:after="0"/>
            </w:pPr>
            <w:r>
              <w:rPr>
                <w:rFonts w:ascii="Times New Roman" w:hAnsi="Times New Roman"/>
                <w:b w:val="0"/>
                <w:sz w:val="22"/>
              </w:rPr>
              <w:t>fora do escopo</w:t>
            </w:r>
          </w:p>
        </w:tc>
      </w:tr>
      <w:tr>
        <w:tc>
          <w:tcPr>
            <w:tcW w:type="dxa" w:w="3135"/>
          </w:tcPr>
          <w:p>
            <w:pPr>
              <w:spacing w:line="240" w:lineRule="auto" w:after="0"/>
            </w:pPr>
            <w:r>
              <w:rPr>
                <w:rFonts w:ascii="Times New Roman" w:hAnsi="Times New Roman"/>
                <w:b w:val="0"/>
                <w:sz w:val="22"/>
              </w:rPr>
              <w:t>8</w:t>
            </w:r>
          </w:p>
        </w:tc>
        <w:tc>
          <w:tcPr>
            <w:tcW w:type="dxa" w:w="3135"/>
          </w:tcPr>
          <w:p>
            <w:pPr>
              <w:spacing w:line="240" w:lineRule="auto" w:after="0"/>
            </w:pPr>
            <w:r>
              <w:rPr>
                <w:rFonts w:ascii="Times New Roman" w:hAnsi="Times New Roman"/>
                <w:b w:val="0"/>
                <w:sz w:val="22"/>
              </w:rPr>
              <w:t>Outros mercados: títulos, cripto, setores</w:t>
            </w:r>
          </w:p>
        </w:tc>
        <w:tc>
          <w:tcPr>
            <w:tcW w:type="dxa" w:w="3135"/>
          </w:tcPr>
          <w:p>
            <w:pPr>
              <w:spacing w:line="240" w:lineRule="auto" w:after="0"/>
            </w:pPr>
            <w:r>
              <w:rPr>
                <w:rFonts w:ascii="Times New Roman" w:hAnsi="Times New Roman"/>
                <w:b w:val="0"/>
                <w:sz w:val="22"/>
              </w:rPr>
              <w:t>SIM — abrir o leque</w:t>
            </w:r>
          </w:p>
        </w:tc>
      </w:tr>
      <w:tr>
        <w:tc>
          <w:tcPr>
            <w:tcW w:type="dxa" w:w="3135"/>
          </w:tcPr>
          <w:p>
            <w:pPr>
              <w:spacing w:line="240" w:lineRule="auto" w:after="0"/>
            </w:pPr>
            <w:r>
              <w:rPr>
                <w:rFonts w:ascii="Times New Roman" w:hAnsi="Times New Roman"/>
                <w:b w:val="0"/>
                <w:sz w:val="22"/>
              </w:rPr>
              <w:t>9</w:t>
            </w:r>
          </w:p>
        </w:tc>
        <w:tc>
          <w:tcPr>
            <w:tcW w:type="dxa" w:w="3135"/>
          </w:tcPr>
          <w:p>
            <w:pPr>
              <w:spacing w:line="240" w:lineRule="auto" w:after="0"/>
            </w:pPr>
            <w:r>
              <w:rPr>
                <w:rFonts w:ascii="Times New Roman" w:hAnsi="Times New Roman"/>
                <w:b w:val="0"/>
                <w:sz w:val="22"/>
              </w:rPr>
              <w:t>Explicar por que o modelo decidiu</w:t>
            </w:r>
          </w:p>
        </w:tc>
        <w:tc>
          <w:tcPr>
            <w:tcW w:type="dxa" w:w="3135"/>
          </w:tcPr>
          <w:p>
            <w:pPr>
              <w:spacing w:line="240" w:lineRule="auto" w:after="0"/>
            </w:pPr>
            <w:r>
              <w:rPr>
                <w:rFonts w:ascii="Times New Roman" w:hAnsi="Times New Roman"/>
                <w:b w:val="0"/>
                <w:sz w:val="22"/>
              </w:rPr>
              <w:t>SIM — barato e bonito</w:t>
            </w:r>
          </w:p>
        </w:tc>
      </w:tr>
    </w:tbl>
    <w:p>
      <w:pPr>
        <w:spacing w:line="240" w:lineRule="auto" w:before="40" w:after="120"/>
        <w:jc w:val="center"/>
      </w:pPr>
      <w:r>
        <w:rPr>
          <w:rFonts w:ascii="Times New Roman" w:hAnsi="Times New Roman"/>
          <w:i w:val="0"/>
          <w:sz w:val="20"/>
        </w:rPr>
        <w:t>Fonte: Elaborado pelo autor (2026).</w:t>
      </w:r>
    </w:p>
    <w:p/>
    <w:p>
      <w:pPr>
        <w:keepNext/>
        <w:spacing w:before="240" w:after="120"/>
      </w:pPr>
      <w:r>
        <w:rPr>
          <w:rFonts w:ascii="Times New Roman" w:hAnsi="Times New Roman"/>
          <w:b/>
          <w:sz w:val="24"/>
        </w:rPr>
        <w:t>4.1 A melhor ideia que este levantamento produziu</w:t>
      </w:r>
    </w:p>
    <w:p>
      <w:pPr>
        <w:spacing w:line="360" w:lineRule="auto" w:after="120"/>
        <w:ind w:firstLine="709"/>
        <w:jc w:val="both"/>
      </w:pPr>
      <w:r>
        <w:rPr>
          <w:rFonts w:ascii="Times New Roman" w:hAnsi="Times New Roman"/>
          <w:sz w:val="24"/>
        </w:rPr>
        <w:t xml:space="preserve">Existe um modelo especializado em </w:t>
      </w:r>
      <w:r>
        <w:rPr>
          <w:rFonts w:ascii="Times New Roman" w:hAnsi="Times New Roman"/>
          <w:b/>
          <w:sz w:val="24"/>
        </w:rPr>
        <w:t>separar notícia que conta o passado de notícia que projeta o futuro</w:t>
      </w:r>
      <w:r>
        <w:rPr>
          <w:rFonts w:ascii="Times New Roman" w:hAnsi="Times New Roman"/>
          <w:sz w:val="24"/>
        </w:rPr>
        <w:t>. Chama-se `finbert-fls`.</w:t>
      </w:r>
    </w:p>
    <w:p>
      <w:pPr>
        <w:spacing w:line="360" w:lineRule="auto" w:after="120"/>
        <w:ind w:firstLine="709"/>
        <w:jc w:val="both"/>
      </w:pPr>
      <w:r>
        <w:rPr>
          <w:rFonts w:ascii="Times New Roman" w:hAnsi="Times New Roman"/>
          <w:sz w:val="24"/>
        </w:rPr>
        <w:t xml:space="preserve">Pare e pense no que isso significa para nós. A nossa Seção 4.l descobriu que </w:t>
      </w:r>
      <w:r>
        <w:rPr>
          <w:rFonts w:ascii="Times New Roman" w:hAnsi="Times New Roman"/>
          <w:b/>
          <w:sz w:val="24"/>
        </w:rPr>
        <w:t>o sentimento acompanha o mercado em vez de antecipá-lo</w:t>
      </w:r>
      <w:r>
        <w:rPr>
          <w:rFonts w:ascii="Times New Roman" w:hAnsi="Times New Roman"/>
          <w:sz w:val="24"/>
        </w:rPr>
        <w:t xml:space="preserve"> — o sinal é limpo no mesmo dia e some no dia seguinte. A explicação que demos foi: boa parte disso é o jornal </w:t>
      </w:r>
      <w:r>
        <w:rPr>
          <w:rFonts w:ascii="Times New Roman" w:hAnsi="Times New Roman"/>
          <w:b/>
          <w:sz w:val="24"/>
        </w:rPr>
        <w:t>narrando</w:t>
      </w:r>
      <w:r>
        <w:rPr>
          <w:rFonts w:ascii="Times New Roman" w:hAnsi="Times New Roman"/>
          <w:sz w:val="24"/>
        </w:rPr>
        <w:t xml:space="preserve"> o que já aconteceu.</w:t>
      </w:r>
    </w:p>
    <w:p>
      <w:pPr>
        <w:spacing w:line="360" w:lineRule="auto" w:after="120"/>
        <w:ind w:firstLine="709"/>
        <w:jc w:val="both"/>
      </w:pPr>
      <w:r>
        <w:rPr>
          <w:rFonts w:ascii="Times New Roman" w:hAnsi="Times New Roman"/>
          <w:sz w:val="24"/>
        </w:rPr>
      </w:r>
      <w:r>
        <w:rPr>
          <w:rFonts w:ascii="Times New Roman" w:hAnsi="Times New Roman"/>
          <w:b/>
          <w:sz w:val="24"/>
        </w:rPr>
        <w:t>Se essa explicação estiver certa, então separar as notícias que falam do futuro deveria concentrar o sinal que sobra.</w:t>
      </w:r>
      <w:r>
        <w:rPr>
          <w:rFonts w:ascii="Times New Roman" w:hAnsi="Times New Roman"/>
          <w:sz w:val="24"/>
        </w:rPr>
      </w:r>
    </w:p>
    <w:p>
      <w:pPr>
        <w:spacing w:line="360" w:lineRule="auto" w:after="120"/>
        <w:ind w:firstLine="709"/>
        <w:jc w:val="both"/>
      </w:pPr>
      <w:r>
        <w:rPr>
          <w:rFonts w:ascii="Times New Roman" w:hAnsi="Times New Roman"/>
          <w:sz w:val="24"/>
        </w:rPr>
        <w:t xml:space="preserve">É a mesma lógica do filtro de relevância, que foi a única coisa que funcionou em nove tentativas: </w:t>
      </w:r>
      <w:r>
        <w:rPr>
          <w:rFonts w:ascii="Times New Roman" w:hAnsi="Times New Roman"/>
          <w:b/>
          <w:sz w:val="24"/>
        </w:rPr>
        <w:t>mexer em quais notícias entram no índice funciona; mexer no modelo não funciona.</w:t>
      </w:r>
      <w:r>
        <w:rPr>
          <w:rFonts w:ascii="Times New Roman" w:hAnsi="Times New Roman"/>
          <w:sz w:val="24"/>
        </w:rPr>
        <w:t xml:space="preserve"> E dá para testar sem depender do modelo em inglês — basta identificar as manchetes com verbo no futuro, com “deve”, “prevê”, “projeta”, “espera-se”.</w:t>
      </w:r>
    </w:p>
    <w:p>
      <w:pPr>
        <w:spacing w:line="360" w:lineRule="auto" w:after="120"/>
        <w:ind w:firstLine="709"/>
        <w:jc w:val="both"/>
      </w:pPr>
      <w:r>
        <w:rPr>
          <w:rFonts w:ascii="Times New Roman" w:hAnsi="Times New Roman"/>
          <w:sz w:val="24"/>
        </w:rPr>
      </w:r>
      <w:r>
        <w:rPr>
          <w:rFonts w:ascii="Times New Roman" w:hAnsi="Times New Roman"/>
          <w:b/>
          <w:sz w:val="24"/>
        </w:rPr>
        <w:t>Custo baixo, hipótese clara, ligada a dois achados que já temos.</w:t>
      </w:r>
      <w:r>
        <w:rPr>
          <w:rFonts w:ascii="Times New Roman" w:hAnsi="Times New Roman"/>
          <w:sz w:val="24"/>
        </w:rPr>
        <w:t xml:space="preserve"> É a minha recomendação número um.</w:t>
      </w:r>
    </w:p>
    <w:p>
      <w:pPr>
        <w:keepNext/>
        <w:spacing w:before="240" w:after="120"/>
      </w:pPr>
      <w:r>
        <w:rPr>
          <w:rFonts w:ascii="Times New Roman" w:hAnsi="Times New Roman"/>
          <w:b/>
          <w:sz w:val="24"/>
        </w:rPr>
        <w:t>4.2 Cuidado com os artigos que anunciam 95% de acerto</w:t>
      </w:r>
    </w:p>
    <w:p>
      <w:pPr>
        <w:spacing w:line="360" w:lineRule="auto" w:after="120"/>
        <w:ind w:firstLine="709"/>
        <w:jc w:val="both"/>
      </w:pPr>
      <w:r>
        <w:rPr>
          <w:rFonts w:ascii="Times New Roman" w:hAnsi="Times New Roman"/>
          <w:sz w:val="24"/>
        </w:rPr>
        <w:t xml:space="preserve">Você vai esbarrar em artigos afirmando “acurácia de 95,5%” na previsão de ações, e vai se perguntar por que o nosso dá 52%. </w:t>
      </w:r>
      <w:r>
        <w:rPr>
          <w:rFonts w:ascii="Times New Roman" w:hAnsi="Times New Roman"/>
          <w:b/>
          <w:sz w:val="24"/>
        </w:rPr>
        <w:t>A comparação é falsa, e você precisa saber explicar isso.</w:t>
      </w:r>
      <w:r>
        <w:rPr>
          <w:rFonts w:ascii="Times New Roman" w:hAnsi="Times New Roman"/>
          <w:sz w:val="24"/>
        </w:rPr>
      </w:r>
    </w:p>
    <w:p>
      <w:pPr>
        <w:spacing w:line="360" w:lineRule="auto" w:after="120"/>
        <w:ind w:firstLine="709"/>
        <w:jc w:val="both"/>
      </w:pPr>
      <w:r>
        <w:rPr>
          <w:rFonts w:ascii="Times New Roman" w:hAnsi="Times New Roman"/>
          <w:sz w:val="24"/>
        </w:rPr>
        <w:t>Existem duas perguntas completamente diferentes:</w:t>
      </w:r>
    </w:p>
    <w:p>
      <w:pPr>
        <w:pStyle w:val="ListBullet"/>
        <w:spacing w:line="360" w:lineRule="auto"/>
      </w:pPr>
      <w:r>
        <w:rPr>
          <w:rFonts w:ascii="Times New Roman" w:hAnsi="Times New Roman"/>
          <w:sz w:val="24"/>
        </w:rPr>
      </w:r>
      <w:r>
        <w:rPr>
          <w:rFonts w:ascii="Times New Roman" w:hAnsi="Times New Roman"/>
          <w:b/>
          <w:sz w:val="24"/>
        </w:rPr>
        <w:t>“Qual será o preço amanhã?”</w:t>
      </w:r>
      <w:r>
        <w:rPr>
          <w:rFonts w:ascii="Times New Roman" w:hAnsi="Times New Roman"/>
          <w:sz w:val="24"/>
        </w:rPr>
        <w:t xml:space="preserve"> — pergunta fácil. A resposta “mais ou menos o mesmo de hoje” já acerta com 2% de erro, porque preço de ação não dá saltos todo dia. Qualquer modelo parece genial.</w:t>
      </w:r>
    </w:p>
    <w:p>
      <w:pPr>
        <w:pStyle w:val="ListBullet"/>
        <w:spacing w:line="360" w:lineRule="auto"/>
      </w:pPr>
      <w:r>
        <w:rPr>
          <w:rFonts w:ascii="Times New Roman" w:hAnsi="Times New Roman"/>
          <w:sz w:val="24"/>
        </w:rPr>
      </w:r>
      <w:r>
        <w:rPr>
          <w:rFonts w:ascii="Times New Roman" w:hAnsi="Times New Roman"/>
          <w:b/>
          <w:sz w:val="24"/>
        </w:rPr>
        <w:t>“A ação vai subir ou cair amanhã?”</w:t>
      </w:r>
      <w:r>
        <w:rPr>
          <w:rFonts w:ascii="Times New Roman" w:hAnsi="Times New Roman"/>
          <w:sz w:val="24"/>
        </w:rPr>
        <w:t xml:space="preserve"> — pergunta difícil. É quase cara ou coroa, e é o que nós medimos.</w:t>
      </w:r>
    </w:p>
    <w:p>
      <w:pPr>
        <w:spacing w:line="360" w:lineRule="auto" w:after="120"/>
        <w:ind w:firstLine="709"/>
        <w:jc w:val="both"/>
      </w:pPr>
      <w:r>
        <w:rPr>
          <w:rFonts w:ascii="Times New Roman" w:hAnsi="Times New Roman"/>
          <w:sz w:val="24"/>
        </w:rPr>
        <w:t xml:space="preserve">É a diferença entre acertar que </w:t>
      </w:r>
      <w:r>
        <w:rPr>
          <w:rFonts w:ascii="Times New Roman" w:hAnsi="Times New Roman"/>
          <w:b/>
          <w:sz w:val="24"/>
        </w:rPr>
        <w:t>amanhã vai fazer mais ou menos a mesma temperatura de hoje</w:t>
      </w:r>
      <w:r>
        <w:rPr>
          <w:rFonts w:ascii="Times New Roman" w:hAnsi="Times New Roman"/>
          <w:sz w:val="24"/>
        </w:rPr>
        <w:t xml:space="preserve"> (fácil, quase sempre certo) e acertar se </w:t>
      </w:r>
      <w:r>
        <w:rPr>
          <w:rFonts w:ascii="Times New Roman" w:hAnsi="Times New Roman"/>
          <w:b/>
          <w:sz w:val="24"/>
        </w:rPr>
        <w:t>vai fazer mais calor ou mais frio</w:t>
      </w:r>
      <w:r>
        <w:rPr>
          <w:rFonts w:ascii="Times New Roman" w:hAnsi="Times New Roman"/>
          <w:sz w:val="24"/>
        </w:rPr>
        <w:t xml:space="preserve"> (difícil, quase meio a meio).</w:t>
      </w:r>
    </w:p>
    <w:p>
      <w:pPr>
        <w:spacing w:line="360" w:lineRule="auto" w:after="120"/>
        <w:ind w:firstLine="709"/>
        <w:jc w:val="both"/>
      </w:pPr>
      <w:r>
        <w:rPr>
          <w:rFonts w:ascii="Times New Roman" w:hAnsi="Times New Roman"/>
          <w:sz w:val="24"/>
        </w:rPr>
        <w:t xml:space="preserve">Aquele artigo dos 95% relata erro percentual de 4,5% — métrica de </w:t>
      </w:r>
      <w:r>
        <w:rPr>
          <w:rFonts w:ascii="Times New Roman" w:hAnsi="Times New Roman"/>
          <w:b/>
          <w:sz w:val="24"/>
        </w:rPr>
        <w:t>preço</w:t>
      </w:r>
      <w:r>
        <w:rPr>
          <w:rFonts w:ascii="Times New Roman" w:hAnsi="Times New Roman"/>
          <w:sz w:val="24"/>
        </w:rPr>
        <w:t>, não de direção. Os 95% são simplesmente 100% menos 4,5%.</w:t>
      </w:r>
    </w:p>
    <w:p>
      <w:pPr>
        <w:spacing w:line="360" w:lineRule="auto" w:after="120"/>
        <w:ind w:firstLine="709"/>
        <w:jc w:val="both"/>
      </w:pPr>
      <w:r>
        <w:rPr>
          <w:rFonts w:ascii="Times New Roman" w:hAnsi="Times New Roman"/>
          <w:sz w:val="24"/>
        </w:rPr>
      </w:r>
      <w:r>
        <w:rPr>
          <w:rFonts w:ascii="Times New Roman" w:hAnsi="Times New Roman"/>
          <w:b/>
          <w:sz w:val="24"/>
        </w:rPr>
        <w:t>Ressalva de honestidade:</w:t>
      </w:r>
      <w:r>
        <w:rPr>
          <w:rFonts w:ascii="Times New Roman" w:hAnsi="Times New Roman"/>
          <w:sz w:val="24"/>
        </w:rPr>
        <w:t xml:space="preserve"> não consegui abrir o texto completo (o arquivo veio ilegível e a outra versão bloqueou o acesso). A conclusão acima é uma </w:t>
      </w:r>
      <w:r>
        <w:rPr>
          <w:rFonts w:ascii="Times New Roman" w:hAnsi="Times New Roman"/>
          <w:b/>
          <w:sz w:val="24"/>
        </w:rPr>
        <w:t>dedução</w:t>
      </w:r>
      <w:r>
        <w:rPr>
          <w:rFonts w:ascii="Times New Roman" w:hAnsi="Times New Roman"/>
          <w:sz w:val="24"/>
        </w:rPr>
        <w:t xml:space="preserve"> a partir das métricas que eles declaram, e não uma verificação direta. É uma dedução forte — ninguém que classifique direção reporta erro percentual de preço — mas antes de escrever isso na dissertação, é preciso abrir o artigo e confirmar.</w:t>
      </w:r>
    </w:p>
    <w:p>
      <w:pPr>
        <w:keepNext/>
        <w:spacing w:before="360" w:after="120"/>
      </w:pPr>
      <w:r>
        <w:rPr>
          <w:rFonts w:ascii="Times New Roman" w:hAnsi="Times New Roman"/>
          <w:b/>
          <w:sz w:val="24"/>
        </w:rPr>
        <w:t>5 A RESPOSTA DEFINITIVA À PERGUNTA DO PROFESSOR EMERSON SOBRE ROTULAGEM</w:t>
      </w:r>
    </w:p>
    <w:p>
      <w:pPr>
        <w:spacing w:line="360" w:lineRule="auto" w:after="120"/>
        <w:ind w:firstLine="709"/>
        <w:jc w:val="both"/>
      </w:pPr>
      <w:r>
        <w:rPr>
          <w:rFonts w:ascii="Times New Roman" w:hAnsi="Times New Roman"/>
          <w:sz w:val="24"/>
        </w:rPr>
        <w:t xml:space="preserve">Em julho ele disse que a rotulagem, para valer, precisaria ser feita por </w:t>
      </w:r>
      <w:r>
        <w:rPr>
          <w:rFonts w:ascii="Times New Roman" w:hAnsi="Times New Roman"/>
          <w:b/>
          <w:sz w:val="24"/>
        </w:rPr>
        <w:t>especialistas em finanças</w:t>
      </w:r>
      <w:r>
        <w:rPr>
          <w:rFonts w:ascii="Times New Roman" w:hAnsi="Times New Roman"/>
          <w:sz w:val="24"/>
        </w:rPr>
        <w:t>, e suspendeu o trabalho. Agora eu tenho o documento que responde isso com precisão.</w:t>
      </w:r>
    </w:p>
    <w:p>
      <w:pPr>
        <w:spacing w:line="360" w:lineRule="auto" w:after="120"/>
        <w:ind w:firstLine="709"/>
        <w:jc w:val="both"/>
      </w:pPr>
      <w:r>
        <w:rPr>
          <w:rFonts w:ascii="Times New Roman" w:hAnsi="Times New Roman"/>
          <w:sz w:val="24"/>
        </w:rPr>
        <w:t xml:space="preserve">O conjunto de dados sobre o qual </w:t>
      </w:r>
      <w:r>
        <w:rPr>
          <w:rFonts w:ascii="Times New Roman" w:hAnsi="Times New Roman"/>
          <w:b/>
          <w:sz w:val="24"/>
        </w:rPr>
        <w:t>os dois FinBERT ingleses são treinados</w:t>
      </w:r>
      <w:r>
        <w:rPr>
          <w:rFonts w:ascii="Times New Roman" w:hAnsi="Times New Roman"/>
          <w:sz w:val="24"/>
        </w:rPr>
        <w:t xml:space="preserve"> chama-se *Financial PhraseBank*. Foi montado assim:</w:t>
      </w:r>
    </w:p>
    <w:p>
      <w:pPr>
        <w:spacing w:line="240" w:lineRule="auto" w:before="120" w:after="40"/>
        <w:jc w:val="center"/>
      </w:pPr>
      <w:r>
        <w:rPr>
          <w:rFonts w:ascii="Times New Roman" w:hAnsi="Times New Roman"/>
          <w:sz w:val="20"/>
        </w:rPr>
        <w:t>Tabela 6 – O padrão-ouro internacional comparado ao nosso</w:t>
      </w:r>
    </w:p>
    <w:tbl>
      <w:tblPr>
        <w:tblW w:type="auto" w:w="0"/>
        <w:jc w:val="center"/>
        <w:tblLook w:firstColumn="1" w:firstRow="1" w:lastColumn="0" w:lastRow="0" w:noHBand="0" w:noVBand="1" w:val="04A0"/>
        <w:tblBorders>
          <w:top w:val="single" w:sz="8" w:color="000000"/>
          <w:bottom w:val="single" w:sz="8" w:color="000000"/>
          <w:left w:val="none" w:sz="0"/>
          <w:right w:val="none" w:sz="0"/>
          <w:insideV w:val="none" w:sz="0"/>
        </w:tblBorders>
      </w:tblPr>
      <w:tblGrid>
        <w:gridCol w:w="3135"/>
        <w:gridCol w:w="3135"/>
        <w:gridCol w:w="3135"/>
      </w:tblGrid>
      <w:tr>
        <w:tc>
          <w:tcPr>
            <w:tcW w:type="dxa" w:w="3135"/>
            <w:tcBorders>
              <w:bottom w:val="single" w:sz="8" w:color="000000"/>
            </w:tcBorders>
          </w:tcPr>
          <w:p>
            <w:pPr>
              <w:spacing w:line="240" w:lineRule="auto" w:after="0"/>
            </w:pPr>
            <w:r>
              <w:rPr>
                <w:rFonts w:ascii="Times New Roman" w:hAnsi="Times New Roman"/>
                <w:b/>
                <w:sz w:val="22"/>
              </w:rPr>
            </w:r>
          </w:p>
        </w:tc>
        <w:tc>
          <w:tcPr>
            <w:tcW w:type="dxa" w:w="3135"/>
            <w:tcBorders>
              <w:bottom w:val="single" w:sz="8" w:color="000000"/>
            </w:tcBorders>
          </w:tcPr>
          <w:p>
            <w:pPr>
              <w:spacing w:line="240" w:lineRule="auto" w:after="0"/>
            </w:pPr>
            <w:r>
              <w:rPr>
                <w:rFonts w:ascii="Times New Roman" w:hAnsi="Times New Roman"/>
                <w:b/>
                <w:sz w:val="22"/>
              </w:rPr>
              <w:t>Financial PhraseBank</w:t>
            </w:r>
          </w:p>
        </w:tc>
        <w:tc>
          <w:tcPr>
            <w:tcW w:type="dxa" w:w="3135"/>
            <w:tcBorders>
              <w:bottom w:val="single" w:sz="8" w:color="000000"/>
            </w:tcBorders>
          </w:tcPr>
          <w:p>
            <w:pPr>
              <w:spacing w:line="240" w:lineRule="auto" w:after="0"/>
            </w:pPr>
            <w:r>
              <w:rPr>
                <w:rFonts w:ascii="Times New Roman" w:hAnsi="Times New Roman"/>
                <w:b/>
                <w:sz w:val="22"/>
              </w:rPr>
              <w:t>Nosso conjunto-ouro</w:t>
            </w:r>
          </w:p>
        </w:tc>
      </w:tr>
      <w:tr>
        <w:tc>
          <w:tcPr>
            <w:tcW w:type="dxa" w:w="3135"/>
          </w:tcPr>
          <w:p>
            <w:pPr>
              <w:spacing w:line="240" w:lineRule="auto" w:after="0"/>
            </w:pPr>
            <w:r>
              <w:rPr>
                <w:rFonts w:ascii="Times New Roman" w:hAnsi="Times New Roman"/>
                <w:b w:val="0"/>
                <w:sz w:val="22"/>
              </w:rPr>
              <w:t>Itens</w:t>
            </w:r>
          </w:p>
        </w:tc>
        <w:tc>
          <w:tcPr>
            <w:tcW w:type="dxa" w:w="3135"/>
          </w:tcPr>
          <w:p>
            <w:pPr>
              <w:spacing w:line="240" w:lineRule="auto" w:after="0"/>
            </w:pPr>
            <w:r>
              <w:rPr>
                <w:rFonts w:ascii="Times New Roman" w:hAnsi="Times New Roman"/>
                <w:b w:val="0"/>
                <w:sz w:val="22"/>
              </w:rPr>
              <w:t>4.846 sentenças</w:t>
            </w:r>
          </w:p>
        </w:tc>
        <w:tc>
          <w:tcPr>
            <w:tcW w:type="dxa" w:w="3135"/>
          </w:tcPr>
          <w:p>
            <w:pPr>
              <w:spacing w:line="240" w:lineRule="auto" w:after="0"/>
            </w:pPr>
            <w:r>
              <w:rPr>
                <w:rFonts w:ascii="Times New Roman" w:hAnsi="Times New Roman"/>
                <w:b w:val="0"/>
                <w:sz w:val="22"/>
              </w:rPr>
              <w:t>300 manchetes</w:t>
            </w:r>
          </w:p>
        </w:tc>
      </w:tr>
      <w:tr>
        <w:tc>
          <w:tcPr>
            <w:tcW w:type="dxa" w:w="3135"/>
          </w:tcPr>
          <w:p>
            <w:pPr>
              <w:spacing w:line="240" w:lineRule="auto" w:after="0"/>
            </w:pPr>
            <w:r>
              <w:rPr>
                <w:rFonts w:ascii="Times New Roman" w:hAnsi="Times New Roman"/>
                <w:b w:val="0"/>
                <w:sz w:val="22"/>
              </w:rPr>
              <w:t>Quem rotulou</w:t>
            </w:r>
          </w:p>
        </w:tc>
        <w:tc>
          <w:tcPr>
            <w:tcW w:type="dxa" w:w="3135"/>
          </w:tcPr>
          <w:p>
            <w:pPr>
              <w:spacing w:line="240" w:lineRule="auto" w:after="0"/>
            </w:pPr>
            <w:r>
              <w:rPr>
                <w:rFonts w:ascii="Times New Roman" w:hAnsi="Times New Roman"/>
                <w:b w:val="0"/>
                <w:sz w:val="22"/>
              </w:rPr>
              <w:t>16 pessoas de finanças</w:t>
            </w:r>
          </w:p>
        </w:tc>
        <w:tc>
          <w:tcPr>
            <w:tcW w:type="dxa" w:w="3135"/>
          </w:tcPr>
          <w:p>
            <w:pPr>
              <w:spacing w:line="240" w:lineRule="auto" w:after="0"/>
            </w:pPr>
            <w:r>
              <w:rPr>
                <w:rFonts w:ascii="Times New Roman" w:hAnsi="Times New Roman"/>
                <w:b w:val="0"/>
                <w:sz w:val="22"/>
              </w:rPr>
              <w:t>1 pessoa (você)</w:t>
            </w:r>
          </w:p>
        </w:tc>
      </w:tr>
      <w:tr>
        <w:tc>
          <w:tcPr>
            <w:tcW w:type="dxa" w:w="3135"/>
          </w:tcPr>
          <w:p>
            <w:pPr>
              <w:spacing w:line="240" w:lineRule="auto" w:after="0"/>
            </w:pPr>
            <w:r>
              <w:rPr>
                <w:rFonts w:ascii="Times New Roman" w:hAnsi="Times New Roman"/>
                <w:b w:val="0"/>
                <w:sz w:val="22"/>
              </w:rPr>
              <w:t>Rótulos por item</w:t>
            </w:r>
          </w:p>
        </w:tc>
        <w:tc>
          <w:tcPr>
            <w:tcW w:type="dxa" w:w="3135"/>
          </w:tcPr>
          <w:p>
            <w:pPr>
              <w:spacing w:line="240" w:lineRule="auto" w:after="0"/>
            </w:pPr>
            <w:r>
              <w:rPr>
                <w:rFonts w:ascii="Times New Roman" w:hAnsi="Times New Roman"/>
                <w:b w:val="0"/>
                <w:sz w:val="22"/>
              </w:rPr>
              <w:t>5 a 8</w:t>
            </w:r>
          </w:p>
        </w:tc>
        <w:tc>
          <w:tcPr>
            <w:tcW w:type="dxa" w:w="3135"/>
          </w:tcPr>
          <w:p>
            <w:pPr>
              <w:spacing w:line="240" w:lineRule="auto" w:after="0"/>
            </w:pPr>
            <w:r>
              <w:rPr>
                <w:rFonts w:ascii="Times New Roman" w:hAnsi="Times New Roman"/>
                <w:b w:val="0"/>
                <w:sz w:val="22"/>
              </w:rPr>
              <w:t>1</w:t>
            </w:r>
          </w:p>
        </w:tc>
      </w:tr>
      <w:tr>
        <w:tc>
          <w:tcPr>
            <w:tcW w:type="dxa" w:w="3135"/>
          </w:tcPr>
          <w:p>
            <w:pPr>
              <w:spacing w:line="240" w:lineRule="auto" w:after="0"/>
            </w:pPr>
            <w:r>
              <w:rPr>
                <w:rFonts w:ascii="Times New Roman" w:hAnsi="Times New Roman"/>
                <w:b w:val="0"/>
                <w:sz w:val="22"/>
              </w:rPr>
              <w:t>Mede concordância?</w:t>
            </w:r>
          </w:p>
        </w:tc>
        <w:tc>
          <w:tcPr>
            <w:tcW w:type="dxa" w:w="3135"/>
          </w:tcPr>
          <w:p>
            <w:pPr>
              <w:spacing w:line="240" w:lineRule="auto" w:after="0"/>
            </w:pPr>
            <w:r>
              <w:rPr>
                <w:rFonts w:ascii="Times New Roman" w:hAnsi="Times New Roman"/>
                <w:b w:val="0"/>
                <w:sz w:val="22"/>
              </w:rPr>
              <w:t>sim, em 4 níveis</w:t>
            </w:r>
          </w:p>
        </w:tc>
        <w:tc>
          <w:tcPr>
            <w:tcW w:type="dxa" w:w="3135"/>
          </w:tcPr>
          <w:p>
            <w:pPr>
              <w:spacing w:line="240" w:lineRule="auto" w:after="0"/>
            </w:pPr>
            <w:r>
              <w:rPr>
                <w:rFonts w:ascii="Times New Roman" w:hAnsi="Times New Roman"/>
                <w:b w:val="0"/>
                <w:sz w:val="22"/>
              </w:rPr>
              <w:t>não tem como</w:t>
            </w:r>
          </w:p>
        </w:tc>
      </w:tr>
    </w:tbl>
    <w:p>
      <w:pPr>
        <w:spacing w:line="240" w:lineRule="auto" w:before="40" w:after="120"/>
        <w:jc w:val="center"/>
      </w:pPr>
      <w:r>
        <w:rPr>
          <w:rFonts w:ascii="Times New Roman" w:hAnsi="Times New Roman"/>
          <w:i w:val="0"/>
          <w:sz w:val="20"/>
        </w:rPr>
        <w:t>Fonte: Elaborado pelo autor (2026).</w:t>
      </w:r>
    </w:p>
    <w:p/>
    <w:p>
      <w:pPr>
        <w:spacing w:line="360" w:lineRule="auto" w:after="120"/>
        <w:ind w:firstLine="709"/>
        <w:jc w:val="both"/>
      </w:pPr>
      <w:r>
        <w:rPr>
          <w:rFonts w:ascii="Times New Roman" w:hAnsi="Times New Roman"/>
          <w:sz w:val="24"/>
        </w:rPr>
      </w:r>
      <w:r>
        <w:rPr>
          <w:rFonts w:ascii="Times New Roman" w:hAnsi="Times New Roman"/>
          <w:b/>
          <w:sz w:val="24"/>
        </w:rPr>
        <w:t>Três conclusões, e a terceira é a que importa.</w:t>
      </w:r>
      <w:r>
        <w:rPr>
          <w:rFonts w:ascii="Times New Roman" w:hAnsi="Times New Roman"/>
          <w:sz w:val="24"/>
        </w:rPr>
      </w:r>
    </w:p>
    <w:p>
      <w:pPr>
        <w:spacing w:line="360" w:lineRule="auto" w:after="120"/>
        <w:ind w:firstLine="709"/>
        <w:jc w:val="both"/>
      </w:pPr>
      <w:r>
        <w:rPr>
          <w:rFonts w:ascii="Times New Roman" w:hAnsi="Times New Roman"/>
          <w:sz w:val="24"/>
        </w:rPr>
      </w:r>
      <w:r>
        <w:rPr>
          <w:rFonts w:ascii="Times New Roman" w:hAnsi="Times New Roman"/>
          <w:b/>
          <w:sz w:val="24"/>
        </w:rPr>
        <w:t>Primeira: o Professor Emerson estava certo.</w:t>
      </w:r>
      <w:r>
        <w:rPr>
          <w:rFonts w:ascii="Times New Roman" w:hAnsi="Times New Roman"/>
          <w:sz w:val="24"/>
        </w:rPr>
        <w:t xml:space="preserve"> O padrão internacional usa, sim, gente com formação em finanças. Isso está documentado e você pode citar.</w:t>
      </w:r>
    </w:p>
    <w:p>
      <w:pPr>
        <w:spacing w:line="360" w:lineRule="auto" w:after="120"/>
        <w:ind w:firstLine="709"/>
        <w:jc w:val="both"/>
      </w:pPr>
      <w:r>
        <w:rPr>
          <w:rFonts w:ascii="Times New Roman" w:hAnsi="Times New Roman"/>
          <w:sz w:val="24"/>
        </w:rPr>
      </w:r>
      <w:r>
        <w:rPr>
          <w:rFonts w:ascii="Times New Roman" w:hAnsi="Times New Roman"/>
          <w:b/>
          <w:sz w:val="24"/>
        </w:rPr>
        <w:t>Segunda: a barra é mais baixa do que parece.</w:t>
      </w:r>
      <w:r>
        <w:rPr>
          <w:rFonts w:ascii="Times New Roman" w:hAnsi="Times New Roman"/>
          <w:sz w:val="24"/>
        </w:rPr>
        <w:t xml:space="preserve"> Os 16 não eram operadores de mercado veteranos — eram </w:t>
      </w:r>
      <w:r>
        <w:rPr>
          <w:rFonts w:ascii="Times New Roman" w:hAnsi="Times New Roman"/>
          <w:b/>
          <w:sz w:val="24"/>
        </w:rPr>
        <w:t>13 mestrandos</w:t>
      </w:r>
      <w:r>
        <w:rPr>
          <w:rFonts w:ascii="Times New Roman" w:hAnsi="Times New Roman"/>
          <w:sz w:val="24"/>
        </w:rPr>
        <w:t xml:space="preserve"> em finanças, contabilidade e economia, mais 3 pesquisadores. O critério é “formação adequada em mercados financeiros”. </w:t>
      </w:r>
      <w:r>
        <w:rPr>
          <w:rFonts w:ascii="Times New Roman" w:hAnsi="Times New Roman"/>
          <w:b/>
          <w:sz w:val="24"/>
        </w:rPr>
        <w:t>Isso é alcançável na PUCPR.</w:t>
      </w:r>
      <w:r>
        <w:rPr>
          <w:rFonts w:ascii="Times New Roman" w:hAnsi="Times New Roman"/>
          <w:sz w:val="24"/>
        </w:rPr>
      </w:r>
    </w:p>
    <w:p>
      <w:pPr>
        <w:spacing w:line="360" w:lineRule="auto" w:after="120"/>
        <w:ind w:firstLine="709"/>
        <w:jc w:val="both"/>
      </w:pPr>
      <w:r>
        <w:rPr>
          <w:rFonts w:ascii="Times New Roman" w:hAnsi="Times New Roman"/>
          <w:sz w:val="24"/>
        </w:rPr>
      </w:r>
      <w:r>
        <w:rPr>
          <w:rFonts w:ascii="Times New Roman" w:hAnsi="Times New Roman"/>
          <w:b/>
          <w:sz w:val="24"/>
        </w:rPr>
        <w:t>Terceira, e a mais importante: o problema maior não é a formação, é a repetição.</w:t>
      </w:r>
      <w:r>
        <w:rPr>
          <w:rFonts w:ascii="Times New Roman" w:hAnsi="Times New Roman"/>
          <w:sz w:val="24"/>
        </w:rPr>
        <w:t xml:space="preserve"> A diferença decisiva não é “especialista contra leigo”. É </w:t>
      </w:r>
      <w:r>
        <w:rPr>
          <w:rFonts w:ascii="Times New Roman" w:hAnsi="Times New Roman"/>
          <w:b/>
          <w:sz w:val="24"/>
        </w:rPr>
        <w:t>5 a 8 pessoas rotulando o mesmo item, contra 1</w:t>
      </w:r>
      <w:r>
        <w:rPr>
          <w:rFonts w:ascii="Times New Roman" w:hAnsi="Times New Roman"/>
          <w:sz w:val="24"/>
        </w:rPr>
        <w:t>. Sem repetição não dá para medir concordância; sem concordância não dá para saber se o erro é do modelo ou do anotador.</w:t>
      </w:r>
    </w:p>
    <w:p>
      <w:pPr>
        <w:spacing w:line="360" w:lineRule="auto" w:after="120"/>
        <w:ind w:firstLine="709"/>
        <w:jc w:val="both"/>
      </w:pPr>
      <w:r>
        <w:rPr>
          <w:rFonts w:ascii="Times New Roman" w:hAnsi="Times New Roman"/>
          <w:sz w:val="24"/>
        </w:rPr>
        <w:t xml:space="preserve">Um dado que ilustra bem: </w:t>
      </w:r>
      <w:r>
        <w:rPr>
          <w:rFonts w:ascii="Times New Roman" w:hAnsi="Times New Roman"/>
          <w:b/>
          <w:sz w:val="24"/>
        </w:rPr>
        <w:t>mesmo entre os 16 especialistas, só 47% das frases tiveram acordo unânime.</w:t>
      </w:r>
      <w:r>
        <w:rPr>
          <w:rFonts w:ascii="Times New Roman" w:hAnsi="Times New Roman"/>
          <w:sz w:val="24"/>
        </w:rPr>
        <w:t xml:space="preserve"> Menos da metade. A tarefa é ambígua por natureza — e isso é um consolo legítimo sobre os seus 0,58.</w:t>
      </w:r>
    </w:p>
    <w:p>
      <w:pPr>
        <w:keepNext/>
        <w:spacing w:before="240" w:after="120"/>
      </w:pPr>
      <w:r>
        <w:rPr>
          <w:rFonts w:ascii="Times New Roman" w:hAnsi="Times New Roman"/>
          <w:b/>
          <w:sz w:val="24"/>
        </w:rPr>
        <w:t>5.1 O que eu proponho, se a rotulagem for retomada</w:t>
      </w:r>
    </w:p>
    <w:p>
      <w:pPr>
        <w:pStyle w:val="ListBullet"/>
        <w:spacing w:line="360" w:lineRule="auto"/>
      </w:pPr>
      <w:r>
        <w:rPr>
          <w:rFonts w:ascii="Times New Roman" w:hAnsi="Times New Roman"/>
          <w:sz w:val="24"/>
        </w:rPr>
      </w:r>
      <w:r>
        <w:rPr>
          <w:rFonts w:ascii="Times New Roman" w:hAnsi="Times New Roman"/>
          <w:b/>
          <w:sz w:val="24"/>
        </w:rPr>
        <w:t>Não rotular mais manchetes. Rotular as MESMAS 300 com 3 pessoas.</w:t>
      </w:r>
      <w:r>
        <w:rPr>
          <w:rFonts w:ascii="Times New Roman" w:hAnsi="Times New Roman"/>
          <w:sz w:val="24"/>
        </w:rPr>
        <w:t xml:space="preserve"> Três opiniões por manchete já permitem calcular concordância.</w:t>
      </w:r>
    </w:p>
    <w:p>
      <w:pPr>
        <w:pStyle w:val="ListBullet"/>
        <w:spacing w:line="360" w:lineRule="auto"/>
      </w:pPr>
      <w:r>
        <w:rPr>
          <w:rFonts w:ascii="Times New Roman" w:hAnsi="Times New Roman"/>
          <w:sz w:val="24"/>
        </w:rPr>
      </w:r>
      <w:r>
        <w:rPr>
          <w:rFonts w:ascii="Times New Roman" w:hAnsi="Times New Roman"/>
          <w:b/>
          <w:sz w:val="24"/>
        </w:rPr>
        <w:t>Recrutar mestrandos de finanças, economia ou contabilidade</w:t>
      </w:r>
      <w:r>
        <w:rPr>
          <w:rFonts w:ascii="Times New Roman" w:hAnsi="Times New Roman"/>
          <w:sz w:val="24"/>
        </w:rPr>
        <w:t xml:space="preserve"> — exatamente o perfil que Malo e colegas usaram, e que dá para declarar na dissertação.</w:t>
      </w:r>
    </w:p>
    <w:p>
      <w:pPr>
        <w:pStyle w:val="ListBullet"/>
        <w:spacing w:line="360" w:lineRule="auto"/>
      </w:pPr>
      <w:r>
        <w:rPr>
          <w:rFonts w:ascii="Times New Roman" w:hAnsi="Times New Roman"/>
          <w:sz w:val="24"/>
        </w:rPr>
      </w:r>
      <w:r>
        <w:rPr>
          <w:rFonts w:ascii="Times New Roman" w:hAnsi="Times New Roman"/>
          <w:b/>
          <w:sz w:val="24"/>
        </w:rPr>
        <w:t>Usar a mesma pergunta que eles usaram:</w:t>
      </w:r>
      <w:r>
        <w:rPr>
          <w:rFonts w:ascii="Times New Roman" w:hAnsi="Times New Roman"/>
          <w:sz w:val="24"/>
        </w:rPr>
        <w:t xml:space="preserve"> “como esta informação poderia afetar o preço da ação mencionada?” É o que a sua coluna de direção esperada já registra.</w:t>
      </w:r>
    </w:p>
    <w:p>
      <w:pPr>
        <w:spacing w:line="360" w:lineRule="auto" w:after="120"/>
        <w:ind w:firstLine="709"/>
        <w:jc w:val="both"/>
      </w:pPr>
      <w:r>
        <w:rPr>
          <w:rFonts w:ascii="Times New Roman" w:hAnsi="Times New Roman"/>
          <w:sz w:val="24"/>
        </w:rPr>
      </w:r>
      <w:r>
        <w:rPr>
          <w:rFonts w:ascii="Times New Roman" w:hAnsi="Times New Roman"/>
          <w:b/>
          <w:sz w:val="24"/>
        </w:rPr>
        <w:t>Mas preciso ser honesto sobre o que isso NÃO vai resolver.</w:t>
      </w:r>
      <w:r>
        <w:rPr>
          <w:rFonts w:ascii="Times New Roman" w:hAnsi="Times New Roman"/>
          <w:sz w:val="24"/>
        </w:rPr>
        <w:t xml:space="preserve"> O teste de teto que fizemos mostrou que um leitor </w:t>
      </w:r>
      <w:r>
        <w:rPr>
          <w:rFonts w:ascii="Times New Roman" w:hAnsi="Times New Roman"/>
          <w:b/>
          <w:sz w:val="24"/>
        </w:rPr>
        <w:t>perfeito</w:t>
      </w:r>
      <w:r>
        <w:rPr>
          <w:rFonts w:ascii="Times New Roman" w:hAnsi="Times New Roman"/>
          <w:sz w:val="24"/>
        </w:rPr>
        <w:t xml:space="preserve"> melhoraria a previsão de direção em apenas 1,2 ponto percentual. </w:t>
      </w:r>
      <w:r>
        <w:rPr>
          <w:rFonts w:ascii="Times New Roman" w:hAnsi="Times New Roman"/>
          <w:b/>
          <w:sz w:val="24"/>
        </w:rPr>
        <w:t>Rotular melhor não vai melhorar a previsão.</w:t>
      </w:r>
      <w:r>
        <w:rPr>
          <w:rFonts w:ascii="Times New Roman" w:hAnsi="Times New Roman"/>
          <w:sz w:val="24"/>
        </w:rPr>
        <w:t xml:space="preserve"> O valor é outro: permitir dizer com rigor se o 0,58 é culpa do modelo ou do anotador. Hoje não dá para saber, e essa dúvida é uma fragilidade real da dissertação.</w:t>
      </w:r>
    </w:p>
    <w:p>
      <w:pPr>
        <w:keepNext/>
        <w:spacing w:before="360" w:after="120"/>
      </w:pPr>
      <w:r>
        <w:rPr>
          <w:rFonts w:ascii="Times New Roman" w:hAnsi="Times New Roman"/>
          <w:b/>
          <w:sz w:val="24"/>
        </w:rPr>
        <w:t>6 CINCO COISAS NOSSAS QUE A LITERATURA CONFIRMOU</w:t>
      </w:r>
    </w:p>
    <w:p>
      <w:pPr>
        <w:spacing w:line="360" w:lineRule="auto" w:after="120"/>
        <w:ind w:firstLine="709"/>
        <w:jc w:val="both"/>
      </w:pPr>
      <w:r>
        <w:rPr>
          <w:rFonts w:ascii="Times New Roman" w:hAnsi="Times New Roman"/>
          <w:sz w:val="24"/>
        </w:rPr>
        <w:t>Este levantamento não só cobrou — validou. Cinco achados seus têm agora respaldo externo independente:</w:t>
      </w:r>
    </w:p>
    <w:p>
      <w:pPr>
        <w:spacing w:line="240" w:lineRule="auto" w:before="120" w:after="40"/>
        <w:jc w:val="center"/>
      </w:pPr>
      <w:r>
        <w:rPr>
          <w:rFonts w:ascii="Times New Roman" w:hAnsi="Times New Roman"/>
          <w:sz w:val="20"/>
        </w:rPr>
        <w:t>Tabela 7 – Nossos achados e suas confirmações externas</w:t>
      </w:r>
    </w:p>
    <w:tbl>
      <w:tblPr>
        <w:tblW w:type="auto" w:w="0"/>
        <w:jc w:val="center"/>
        <w:tblLook w:firstColumn="1" w:firstRow="1" w:lastColumn="0" w:lastRow="0" w:noHBand="0" w:noVBand="1" w:val="04A0"/>
        <w:tblBorders>
          <w:top w:val="single" w:sz="8" w:color="000000"/>
          <w:bottom w:val="single" w:sz="8" w:color="000000"/>
          <w:left w:val="none" w:sz="0"/>
          <w:right w:val="none" w:sz="0"/>
          <w:insideV w:val="none" w:sz="0"/>
        </w:tblBorders>
      </w:tblPr>
      <w:tblGrid>
        <w:gridCol w:w="4702"/>
        <w:gridCol w:w="4702"/>
      </w:tblGrid>
      <w:tr>
        <w:tc>
          <w:tcPr>
            <w:tcW w:type="dxa" w:w="4702"/>
            <w:tcBorders>
              <w:bottom w:val="single" w:sz="8" w:color="000000"/>
            </w:tcBorders>
          </w:tcPr>
          <w:p>
            <w:pPr>
              <w:spacing w:line="240" w:lineRule="auto" w:after="0"/>
            </w:pPr>
            <w:r>
              <w:rPr>
                <w:rFonts w:ascii="Times New Roman" w:hAnsi="Times New Roman"/>
                <w:b/>
                <w:sz w:val="22"/>
              </w:rPr>
              <w:t>O que descobrimos</w:t>
            </w:r>
          </w:p>
        </w:tc>
        <w:tc>
          <w:tcPr>
            <w:tcW w:type="dxa" w:w="4702"/>
            <w:tcBorders>
              <w:bottom w:val="single" w:sz="8" w:color="000000"/>
            </w:tcBorders>
          </w:tcPr>
          <w:p>
            <w:pPr>
              <w:spacing w:line="240" w:lineRule="auto" w:after="0"/>
            </w:pPr>
            <w:r>
              <w:rPr>
                <w:rFonts w:ascii="Times New Roman" w:hAnsi="Times New Roman"/>
                <w:b/>
                <w:sz w:val="22"/>
              </w:rPr>
              <w:t>Quem confirmou, independentemente</w:t>
            </w:r>
          </w:p>
        </w:tc>
      </w:tr>
      <w:tr>
        <w:tc>
          <w:tcPr>
            <w:tcW w:type="dxa" w:w="4702"/>
          </w:tcPr>
          <w:p>
            <w:pPr>
              <w:spacing w:line="240" w:lineRule="auto" w:after="0"/>
            </w:pPr>
            <w:r>
              <w:rPr>
                <w:rFonts w:ascii="Times New Roman" w:hAnsi="Times New Roman"/>
                <w:b w:val="0"/>
                <w:sz w:val="22"/>
              </w:rPr>
              <w:t>O efeito é de cauda</w:t>
            </w:r>
          </w:p>
        </w:tc>
        <w:tc>
          <w:tcPr>
            <w:tcW w:type="dxa" w:w="4702"/>
          </w:tcPr>
          <w:p>
            <w:pPr>
              <w:spacing w:line="240" w:lineRule="auto" w:after="0"/>
            </w:pPr>
            <w:r>
              <w:rPr>
                <w:rFonts w:ascii="Times New Roman" w:hAnsi="Times New Roman"/>
                <w:b w:val="0"/>
                <w:sz w:val="22"/>
              </w:rPr>
              <w:t>404 ações do S&amp;P 500: maior ganho nos dias extremos</w:t>
            </w:r>
          </w:p>
        </w:tc>
      </w:tr>
      <w:tr>
        <w:tc>
          <w:tcPr>
            <w:tcW w:type="dxa" w:w="4702"/>
          </w:tcPr>
          <w:p>
            <w:pPr>
              <w:spacing w:line="240" w:lineRule="auto" w:after="0"/>
            </w:pPr>
            <w:r>
              <w:rPr>
                <w:rFonts w:ascii="Times New Roman" w:hAnsi="Times New Roman"/>
                <w:b w:val="0"/>
                <w:sz w:val="22"/>
              </w:rPr>
              <w:t>Coeficiente ≈ −0,29</w:t>
            </w:r>
          </w:p>
        </w:tc>
        <w:tc>
          <w:tcPr>
            <w:tcW w:type="dxa" w:w="4702"/>
          </w:tcPr>
          <w:p>
            <w:pPr>
              <w:spacing w:line="240" w:lineRule="auto" w:after="0"/>
            </w:pPr>
            <w:r>
              <w:rPr>
                <w:rFonts w:ascii="Times New Roman" w:hAnsi="Times New Roman"/>
                <w:b w:val="0"/>
                <w:sz w:val="22"/>
              </w:rPr>
              <w:t>S&amp;P 500 com o mesmo GARCH: −0,2275</w:t>
            </w:r>
          </w:p>
        </w:tc>
      </w:tr>
      <w:tr>
        <w:tc>
          <w:tcPr>
            <w:tcW w:type="dxa" w:w="4702"/>
          </w:tcPr>
          <w:p>
            <w:pPr>
              <w:spacing w:line="240" w:lineRule="auto" w:after="0"/>
            </w:pPr>
            <w:r>
              <w:rPr>
                <w:rFonts w:ascii="Times New Roman" w:hAnsi="Times New Roman"/>
                <w:b w:val="0"/>
                <w:sz w:val="22"/>
              </w:rPr>
              <w:t>90% dos erros são no Neutro</w:t>
            </w:r>
          </w:p>
        </w:tc>
        <w:tc>
          <w:tcPr>
            <w:tcW w:type="dxa" w:w="4702"/>
          </w:tcPr>
          <w:p>
            <w:pPr>
              <w:spacing w:line="240" w:lineRule="auto" w:after="0"/>
            </w:pPr>
            <w:r>
              <w:rPr>
                <w:rFonts w:ascii="Times New Roman" w:hAnsi="Times New Roman"/>
                <w:b w:val="0"/>
                <w:sz w:val="22"/>
              </w:rPr>
              <w:t>resolver o neutro é o diferencial do modelo bom</w:t>
            </w:r>
          </w:p>
        </w:tc>
      </w:tr>
      <w:tr>
        <w:tc>
          <w:tcPr>
            <w:tcW w:type="dxa" w:w="4702"/>
          </w:tcPr>
          <w:p>
            <w:pPr>
              <w:spacing w:line="240" w:lineRule="auto" w:after="0"/>
            </w:pPr>
            <w:r>
              <w:rPr>
                <w:rFonts w:ascii="Times New Roman" w:hAnsi="Times New Roman"/>
                <w:b w:val="0"/>
                <w:sz w:val="22"/>
              </w:rPr>
              <w:t>LLM perde para o encoder</w:t>
            </w:r>
          </w:p>
        </w:tc>
        <w:tc>
          <w:tcPr>
            <w:tcW w:type="dxa" w:w="4702"/>
          </w:tcPr>
          <w:p>
            <w:pPr>
              <w:spacing w:line="240" w:lineRule="auto" w:after="0"/>
            </w:pPr>
            <w:r>
              <w:rPr>
                <w:rFonts w:ascii="Times New Roman" w:hAnsi="Times New Roman"/>
                <w:b w:val="0"/>
                <w:sz w:val="22"/>
              </w:rPr>
              <w:t>FinBERT 83% supera todos os LLMs em ESG</w:t>
            </w:r>
          </w:p>
        </w:tc>
      </w:tr>
      <w:tr>
        <w:tc>
          <w:tcPr>
            <w:tcW w:type="dxa" w:w="4702"/>
          </w:tcPr>
          <w:p>
            <w:pPr>
              <w:spacing w:line="240" w:lineRule="auto" w:after="0"/>
            </w:pPr>
            <w:r>
              <w:rPr>
                <w:rFonts w:ascii="Times New Roman" w:hAnsi="Times New Roman"/>
                <w:b w:val="0"/>
                <w:sz w:val="22"/>
              </w:rPr>
              <w:t>Degradação ao mudar de domínio</w:t>
            </w:r>
          </w:p>
        </w:tc>
        <w:tc>
          <w:tcPr>
            <w:tcW w:type="dxa" w:w="4702"/>
          </w:tcPr>
          <w:p>
            <w:pPr>
              <w:spacing w:line="240" w:lineRule="auto" w:after="0"/>
            </w:pPr>
            <w:r>
              <w:rPr>
                <w:rFonts w:ascii="Times New Roman" w:hAnsi="Times New Roman"/>
                <w:b w:val="0"/>
                <w:sz w:val="22"/>
              </w:rPr>
              <w:t>FinBERT inglês cai a 0,555 em setor específico</w:t>
            </w:r>
          </w:p>
        </w:tc>
      </w:tr>
    </w:tbl>
    <w:p>
      <w:pPr>
        <w:spacing w:line="240" w:lineRule="auto" w:before="40" w:after="120"/>
        <w:jc w:val="center"/>
      </w:pPr>
      <w:r>
        <w:rPr>
          <w:rFonts w:ascii="Times New Roman" w:hAnsi="Times New Roman"/>
          <w:i w:val="0"/>
          <w:sz w:val="20"/>
        </w:rPr>
        <w:t>Fonte: Elaborado pelo autor (2026).</w:t>
      </w:r>
    </w:p>
    <w:p/>
    <w:p>
      <w:pPr>
        <w:spacing w:line="360" w:lineRule="auto" w:after="120"/>
        <w:ind w:firstLine="709"/>
        <w:jc w:val="both"/>
      </w:pPr>
      <w:r>
        <w:rPr>
          <w:rFonts w:ascii="Times New Roman" w:hAnsi="Times New Roman"/>
          <w:sz w:val="24"/>
        </w:rPr>
      </w:r>
      <w:r>
        <w:rPr>
          <w:rFonts w:ascii="Times New Roman" w:hAnsi="Times New Roman"/>
          <w:b/>
          <w:sz w:val="24"/>
        </w:rPr>
        <w:t>Cinco achados que pareciam idiossincrasias nossas são, na verdade, alinhados ao estado da arte internacional.</w:t>
      </w:r>
      <w:r>
        <w:rPr>
          <w:rFonts w:ascii="Times New Roman" w:hAnsi="Times New Roman"/>
          <w:sz w:val="24"/>
        </w:rPr>
        <w:t xml:space="preserve"> Isso muda a força da sua defesa.</w:t>
      </w:r>
    </w:p>
    <w:p>
      <w:pPr>
        <w:keepNext/>
        <w:spacing w:before="360" w:after="120"/>
      </w:pPr>
      <w:r>
        <w:rPr>
          <w:rFonts w:ascii="Times New Roman" w:hAnsi="Times New Roman"/>
          <w:b/>
          <w:sz w:val="24"/>
        </w:rPr>
        <w:t>7 O QUE PROPONHO FAZER AGORA</w:t>
      </w:r>
    </w:p>
    <w:p>
      <w:pPr>
        <w:spacing w:line="360" w:lineRule="auto" w:after="120"/>
        <w:ind w:firstLine="709"/>
        <w:jc w:val="both"/>
      </w:pPr>
      <w:r>
        <w:rPr>
          <w:rFonts w:ascii="Times New Roman" w:hAnsi="Times New Roman"/>
          <w:sz w:val="24"/>
        </w:rPr>
      </w:r>
      <w:r>
        <w:rPr>
          <w:rFonts w:ascii="Times New Roman" w:hAnsi="Times New Roman"/>
          <w:b/>
          <w:sz w:val="24"/>
        </w:rPr>
        <w:t>Custo quase zero — só escrever, dias:</w:t>
      </w:r>
      <w:r>
        <w:rPr>
          <w:rFonts w:ascii="Times New Roman" w:hAnsi="Times New Roman"/>
          <w:sz w:val="24"/>
        </w:rPr>
      </w:r>
    </w:p>
    <w:p>
      <w:pPr>
        <w:pStyle w:val="ListBullet"/>
        <w:spacing w:line="360" w:lineRule="auto"/>
      </w:pPr>
      <w:r>
        <w:rPr>
          <w:rFonts w:ascii="Times New Roman" w:hAnsi="Times New Roman"/>
          <w:sz w:val="24"/>
        </w:rPr>
        <w:t>Levar as cinco confirmações externas para os Capítulos 4 e 5.</w:t>
      </w:r>
    </w:p>
    <w:p>
      <w:pPr>
        <w:pStyle w:val="ListBullet"/>
        <w:spacing w:line="360" w:lineRule="auto"/>
      </w:pPr>
      <w:r>
        <w:rPr>
          <w:rFonts w:ascii="Times New Roman" w:hAnsi="Times New Roman"/>
          <w:sz w:val="24"/>
        </w:rPr>
        <w:t>Reescrever a limitação da Seção 4.k: em vez de “o sentimento não supera o HAR”, dizer “não conseguimos detectar superação com medida diária e uma ação, enquanto a literatura detecta com medida de 5 minutos e 404 ações”.</w:t>
      </w:r>
    </w:p>
    <w:p>
      <w:pPr>
        <w:pStyle w:val="ListBullet"/>
        <w:spacing w:line="360" w:lineRule="auto"/>
      </w:pPr>
      <w:r>
        <w:rPr>
          <w:rFonts w:ascii="Times New Roman" w:hAnsi="Times New Roman"/>
          <w:sz w:val="24"/>
        </w:rPr>
        <w:t xml:space="preserve">Reescrever a conclusão do experimento G3: 350 exemplos pioram, mas 1.500 levam de 0,555 a 0,707 na literatura. </w:t>
      </w:r>
      <w:r>
        <w:rPr>
          <w:rFonts w:ascii="Times New Roman" w:hAnsi="Times New Roman"/>
          <w:b/>
          <w:sz w:val="24"/>
        </w:rPr>
        <w:t>Não é que ajustar não funcione — é que 350 não bastam.</w:t>
      </w:r>
      <w:r>
        <w:rPr>
          <w:rFonts w:ascii="Times New Roman" w:hAnsi="Times New Roman"/>
          <w:sz w:val="24"/>
        </w:rPr>
      </w:r>
    </w:p>
    <w:p>
      <w:pPr>
        <w:pStyle w:val="ListBullet"/>
        <w:spacing w:line="360" w:lineRule="auto"/>
      </w:pPr>
      <w:r>
        <w:rPr>
          <w:rFonts w:ascii="Times New Roman" w:hAnsi="Times New Roman"/>
          <w:sz w:val="24"/>
        </w:rPr>
        <w:t>Registrar a armadilha dos 95% como crítica metodológica à literatura.</w:t>
      </w:r>
    </w:p>
    <w:p>
      <w:pPr>
        <w:spacing w:line="360" w:lineRule="auto" w:after="120"/>
        <w:ind w:firstLine="709"/>
        <w:jc w:val="both"/>
      </w:pPr>
      <w:r>
        <w:rPr>
          <w:rFonts w:ascii="Times New Roman" w:hAnsi="Times New Roman"/>
          <w:sz w:val="24"/>
        </w:rPr>
      </w:r>
      <w:r>
        <w:rPr>
          <w:rFonts w:ascii="Times New Roman" w:hAnsi="Times New Roman"/>
          <w:b/>
          <w:sz w:val="24"/>
        </w:rPr>
        <w:t>Custo baixo — só código, dias:</w:t>
      </w:r>
      <w:r>
        <w:rPr>
          <w:rFonts w:ascii="Times New Roman" w:hAnsi="Times New Roman"/>
          <w:sz w:val="24"/>
        </w:rPr>
      </w:r>
    </w:p>
    <w:p>
      <w:pPr>
        <w:pStyle w:val="ListBullet"/>
        <w:spacing w:line="360" w:lineRule="auto"/>
      </w:pPr>
      <w:r>
        <w:rPr>
          <w:rFonts w:ascii="Times New Roman" w:hAnsi="Times New Roman"/>
          <w:sz w:val="24"/>
        </w:rPr>
        <w:t>Testar os métodos de combinação sofisticados que eles usam, sobre os dados que já temos.</w:t>
      </w:r>
    </w:p>
    <w:p>
      <w:pPr>
        <w:pStyle w:val="ListBullet"/>
        <w:spacing w:line="360" w:lineRule="auto"/>
      </w:pPr>
      <w:r>
        <w:rPr>
          <w:rFonts w:ascii="Times New Roman" w:hAnsi="Times New Roman"/>
          <w:sz w:val="24"/>
        </w:rPr>
      </w:r>
      <w:r>
        <w:rPr>
          <w:rFonts w:ascii="Times New Roman" w:hAnsi="Times New Roman"/>
          <w:b/>
          <w:sz w:val="24"/>
        </w:rPr>
        <w:t>Testar o filtro de notícias que falam do futuro.</w:t>
      </w:r>
      <w:r>
        <w:rPr>
          <w:rFonts w:ascii="Times New Roman" w:hAnsi="Times New Roman"/>
          <w:sz w:val="24"/>
        </w:rPr>
        <w:t xml:space="preserve"> Minha recomendação número um.</w:t>
      </w:r>
    </w:p>
    <w:p>
      <w:pPr>
        <w:spacing w:line="360" w:lineRule="auto" w:after="120"/>
        <w:ind w:firstLine="709"/>
        <w:jc w:val="both"/>
      </w:pPr>
      <w:r>
        <w:rPr>
          <w:rFonts w:ascii="Times New Roman" w:hAnsi="Times New Roman"/>
          <w:sz w:val="24"/>
        </w:rPr>
      </w:r>
      <w:r>
        <w:rPr>
          <w:rFonts w:ascii="Times New Roman" w:hAnsi="Times New Roman"/>
          <w:b/>
          <w:sz w:val="24"/>
        </w:rPr>
        <w:t>Custo médio — semanas:</w:t>
      </w:r>
      <w:r>
        <w:rPr>
          <w:rFonts w:ascii="Times New Roman" w:hAnsi="Times New Roman"/>
          <w:sz w:val="24"/>
        </w:rPr>
      </w:r>
    </w:p>
    <w:p>
      <w:pPr>
        <w:pStyle w:val="ListBullet"/>
        <w:spacing w:line="360" w:lineRule="auto"/>
      </w:pPr>
      <w:r>
        <w:rPr>
          <w:rFonts w:ascii="Times New Roman" w:hAnsi="Times New Roman"/>
          <w:sz w:val="24"/>
        </w:rPr>
      </w:r>
      <w:r>
        <w:rPr>
          <w:rFonts w:ascii="Times New Roman" w:hAnsi="Times New Roman"/>
          <w:b/>
          <w:sz w:val="24"/>
        </w:rPr>
        <w:t>Replicar tudo para cinco a dez ações da B3.</w:t>
      </w:r>
      <w:r>
        <w:rPr>
          <w:rFonts w:ascii="Times New Roman" w:hAnsi="Times New Roman"/>
          <w:sz w:val="24"/>
        </w:rPr>
        <w:t xml:space="preserve"> É o que o Professor Emerson pediu, e é o que mais aumenta a chance de detectar o sinal. Com uma predição testável embutida: se o efeito é de cauda, ações mais voláteis devem mostrar efeito maior.</w:t>
      </w:r>
    </w:p>
    <w:p>
      <w:pPr>
        <w:keepNext/>
        <w:spacing w:before="360" w:after="120"/>
      </w:pPr>
      <w:r>
        <w:rPr>
          <w:rFonts w:ascii="Times New Roman" w:hAnsi="Times New Roman"/>
          <w:b/>
          <w:sz w:val="24"/>
        </w:rPr>
        <w:t>8 SE VOCÊ TIVER DOIS MINUTOS PARA EXPLICAR ISSO</w:t>
      </w:r>
    </w:p>
    <w:p>
      <w:pPr>
        <w:pStyle w:val="ListBullet"/>
        <w:spacing w:line="360" w:lineRule="auto"/>
      </w:pPr>
      <w:r>
        <w:rPr>
          <w:rFonts w:ascii="Times New Roman" w:hAnsi="Times New Roman"/>
          <w:sz w:val="24"/>
        </w:rPr>
        <w:t>“Fui atrás dos encoders financeiros em inglês. Existem dois FinBERT diferentes com o mesmo nome, um com 4,5 milhões de downloads por mês.”</w:t>
      </w:r>
    </w:p>
    <w:p>
      <w:pPr>
        <w:pStyle w:val="ListBullet"/>
        <w:spacing w:line="360" w:lineRule="auto"/>
      </w:pPr>
      <w:r>
        <w:rPr>
          <w:rFonts w:ascii="Times New Roman" w:hAnsi="Times New Roman"/>
          <w:sz w:val="24"/>
        </w:rPr>
        <w:t xml:space="preserve">“E descobri o principal: o modelo inglês, aplicado a manchetes setoriais sem ajuste, dá 0,555. O nosso dá 0,579. </w:t>
      </w:r>
      <w:r>
        <w:rPr>
          <w:rFonts w:ascii="Times New Roman" w:hAnsi="Times New Roman"/>
          <w:b/>
          <w:sz w:val="24"/>
        </w:rPr>
        <w:t>O nosso é melhor.</w:t>
      </w:r>
      <w:r>
        <w:rPr>
          <w:rFonts w:ascii="Times New Roman" w:hAnsi="Times New Roman"/>
          <w:sz w:val="24"/>
        </w:rPr>
        <w:t xml:space="preserve"> O teto de 0,58 não é problema do português — é o comportamento normal desses modelos.”</w:t>
      </w:r>
    </w:p>
    <w:p>
      <w:pPr>
        <w:pStyle w:val="ListBullet"/>
        <w:spacing w:line="360" w:lineRule="auto"/>
      </w:pPr>
      <w:r>
        <w:rPr>
          <w:rFonts w:ascii="Times New Roman" w:hAnsi="Times New Roman"/>
          <w:sz w:val="24"/>
        </w:rPr>
        <w:t>“Achei dois trabalhos que fazem exatamente o que eu faço. Um deles supera o HAR, e eu não superei — mas eles usam 404 ações e dados de 5 em 5 minutos, contra a minha ação única e dados diários.”</w:t>
      </w:r>
    </w:p>
    <w:p>
      <w:pPr>
        <w:pStyle w:val="ListBullet"/>
        <w:spacing w:line="360" w:lineRule="auto"/>
      </w:pPr>
      <w:r>
        <w:rPr>
          <w:rFonts w:ascii="Times New Roman" w:hAnsi="Times New Roman"/>
          <w:sz w:val="24"/>
        </w:rPr>
        <w:t>“E esse mesmo trabalho confirma o meu efeito de cauda: o ganho deles é maior nos dias de variação extrema. Cheguei ao mesmo lugar com uma ação brasileira.”</w:t>
      </w:r>
    </w:p>
    <w:p>
      <w:pPr>
        <w:pStyle w:val="ListBullet"/>
        <w:spacing w:line="360" w:lineRule="auto"/>
      </w:pPr>
      <w:r>
        <w:rPr>
          <w:rFonts w:ascii="Times New Roman" w:hAnsi="Times New Roman"/>
          <w:sz w:val="24"/>
        </w:rPr>
        <w:t>“O outro trabalho usa o mesmo GARCH que eu e acha coeficiente −0,2275; o meu é −0,2924. Quase idêntico. Mas eles não testam fora da amostra e eu testo — eles param onde eu continuo.”</w:t>
      </w:r>
    </w:p>
    <w:p>
      <w:pPr>
        <w:pStyle w:val="ListBullet"/>
        <w:spacing w:line="360" w:lineRule="auto"/>
      </w:pPr>
      <w:r>
        <w:rPr>
          <w:rFonts w:ascii="Times New Roman" w:hAnsi="Times New Roman"/>
          <w:sz w:val="24"/>
        </w:rPr>
        <w:t>“Sobre a rotulagem: o padrão internacional usa 16 pessoas com formação em finanças e 5 a 8 rótulos por frase. O Professor Emerson estava certo. Mas eram mestrandos, não veteranos — e o problema maior é a repetição, não a formação.”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