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OS ESPECIALISTAS JÁ ROTULARAM</w:t>
      </w:r>
    </w:p>
    <w:p>
      <w:pPr>
        <w:jc w:val="center"/>
      </w:pPr>
      <w:r>
        <w:rPr>
          <w:rFonts w:ascii="Times New Roman" w:hAnsi="Times New Roman"/>
          <w:i/>
          <w:sz w:val="24"/>
        </w:rPr>
        <w:t>224 notícias em que uma casa de análise declarou publicamente se o fato era bom ou ruim para a Petrobras — e o que o nosso modelo disse das mesmas notícias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Resposta ao pedido dos Profs. Emerson Paraiso e Julio Nievola de obter rótulos por via distinta da rotulagem manual. Resultado preliminar, pendente de auditoria manual da planilha que acompanha este documento. Elaborado em 26 de agosto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O QUE FOI FEITO, EM UM PARÁGRAFO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Os senhores pediram para eu procurar especialistas que publiquem se a notícia é boa ou ruim para a Petrobras. </w:t>
      </w:r>
      <w:r>
        <w:rPr>
          <w:rFonts w:ascii="Times New Roman" w:hAnsi="Times New Roman"/>
          <w:b/>
          <w:sz w:val="24"/>
        </w:rPr>
        <w:t>Antes de sair coletando na internet, fui olhar o nosso próprio corpus — e eles já estavam lá.</w:t>
      </w:r>
      <w:r>
        <w:rPr>
          <w:rFonts w:ascii="Times New Roman" w:hAnsi="Times New Roman"/>
          <w:sz w:val="24"/>
        </w:rPr>
        <w:t xml:space="preserve"> Casas de análise publicam o parecer, e a imprensa reproduz na própria manchete. O exemplo abaixo é literal, do nosso corpus: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*“Guide: reajuste do preço do GLP é positivo para a Petrobras”* — Money Times, 4 de junho de 2020.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Extraí 224 casos como esse, de 30 casas de análise diferentes, entre 2018 e 2025.</w:t>
      </w:r>
      <w:r>
        <w:rPr>
          <w:rFonts w:ascii="Times New Roman" w:hAnsi="Times New Roman"/>
          <w:sz w:val="24"/>
        </w:rPr>
        <w:t xml:space="preserve"> E comparei o parecer de cada especialista com o rótulo que o nosso FinBERT-PT-BR deu à mesma notícia.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O CONJUNTO OBTIDO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Como se chegou aos 224 casos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Etapa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Notícias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corpus completo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205.697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Petrobras mencionada NO TÍTULO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20.270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... e uma casa de análise citada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2.213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... com veredicto explícito e sem ambiguidade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224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Composição:</w:t>
      </w:r>
      <w:r>
        <w:rPr>
          <w:rFonts w:ascii="Times New Roman" w:hAnsi="Times New Roman"/>
          <w:sz w:val="24"/>
        </w:rPr>
        <w:t xml:space="preserve"> 30 casas distintas — BTG (25 casos), XP (22), Itaú BBA (15), Credit Suisse (11), UBS (11), Bradesco BBI (9), Santander (9), JPMorgan (7), Bank of America (6), Safra (5), além de Fitch, Moody's e S&amp;P. Fontes: Money Times (133), InfoMoney (69), Exame (19), Poder360 (3). </w:t>
      </w:r>
      <w:r>
        <w:rPr>
          <w:rFonts w:ascii="Times New Roman" w:hAnsi="Times New Roman"/>
          <w:b/>
          <w:sz w:val="24"/>
        </w:rPr>
        <w:t>Distribuição equilibrada entre 2018 e 2025</w:t>
      </w:r>
      <w:r>
        <w:rPr>
          <w:rFonts w:ascii="Times New Roman" w:hAnsi="Times New Roman"/>
          <w:sz w:val="24"/>
        </w:rPr>
        <w:t>, de 14 a 35 casos por ano.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O RESULTADO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nosso modelo concorda com o especialista em 29,0% dos casos.</w:t>
      </w:r>
      <w:r>
        <w:rPr>
          <w:rFonts w:ascii="Times New Roman" w:hAnsi="Times New Roman"/>
          <w:sz w:val="24"/>
        </w:rPr>
        <w:t xml:space="preserve"> O kappa de Cohen é de </w:t>
      </w:r>
      <w:r>
        <w:rPr>
          <w:rFonts w:ascii="Times New Roman" w:hAnsi="Times New Roman"/>
          <w:b/>
          <w:sz w:val="24"/>
        </w:rPr>
        <w:t>0,075</w:t>
      </w:r>
      <w:r>
        <w:rPr>
          <w:rFonts w:ascii="Times New Roman" w:hAnsi="Times New Roman"/>
          <w:sz w:val="24"/>
        </w:rPr>
        <w:t xml:space="preserve"> — uma medida que vale 0 quando a concordância é a que se esperaria do puro acaso, e 1 quando é perfeita. </w:t>
      </w:r>
      <w:r>
        <w:rPr>
          <w:rFonts w:ascii="Times New Roman" w:hAnsi="Times New Roman"/>
          <w:b/>
          <w:sz w:val="24"/>
        </w:rPr>
        <w:t>Estamos praticamente no acaso.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Mas o número global esconde o essencial. Veja por classe: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Concordância, separada pelo que o especialista disse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especialista disse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nosso modelo concordou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190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24,2%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63,0%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28,6%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Quando o especialista diz que a notícia é RUIM, nós concordamos em quase dois terços das vezes. Quando ele diz que é BOA, concordamos em um quarto.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Para onde vão os positivos que perdemos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Das 190 notícias que o especialista chamou de positivas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nosso modelo classificou como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Quantas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106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 (acerto)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38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modelo não chama de negativo o que é positivo — ele se cala.</w:t>
      </w:r>
      <w:r>
        <w:rPr>
          <w:rFonts w:ascii="Times New Roman" w:hAnsi="Times New Roman"/>
          <w:sz w:val="24"/>
        </w:rPr>
        <w:t xml:space="preserve"> Manda mais da metade para “neutro”. E em 38 casos inverte o sinal por completo.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3.2 As mesmas notícias, vistas pelos dois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Distribuição sobre exatamente o mesmo conjunto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Positivo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Neutro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Negativo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Especialistas humanos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84,8%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3,1%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12,1%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FinBERT-PT-BR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21,9%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52,7%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25,4%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Esta é a tabela que resume tudo.</w:t>
      </w:r>
      <w:r>
        <w:rPr>
          <w:rFonts w:ascii="Times New Roman" w:hAnsi="Times New Roman"/>
          <w:sz w:val="24"/>
        </w:rPr>
        <w:t xml:space="preserve"> Diante das mesmas 224 notícias, analistas profissionais enxergam 84,8% como favoráveis à Petrobras. O nosso modelo enxerga 21,9%.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isto confirma, com referência externa e profissional, o que a auditoria interna já apontava:</w:t>
      </w:r>
      <w:r>
        <w:rPr>
          <w:rFonts w:ascii="Times New Roman" w:hAnsi="Times New Roman"/>
          <w:sz w:val="24"/>
        </w:rPr>
        <w:t xml:space="preserve"> o modelo tem viés contra a classe positiva. Nós já sabíamos que ele rotula 48,5% de tudo como negativo e que </w:t>
      </w:r>
      <w:r>
        <w:rPr>
          <w:rFonts w:ascii="Times New Roman" w:hAnsi="Times New Roman"/>
          <w:b/>
          <w:sz w:val="24"/>
        </w:rPr>
        <w:t>não existe um único pregão, em oito anos, com maioria de notícias positivas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Agora temos quem contradiga isso: trinta casas de análise.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AS RESSALVAS — E SÃO SÉRIAS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Este número é preliminar. Não deve ser citado como resultado final antes da auditoria manual.</w:t>
      </w:r>
      <w:r>
        <w:rPr>
          <w:rFonts w:ascii="Times New Roman" w:hAnsi="Times New Roman"/>
          <w:sz w:val="24"/>
        </w:rPr>
        <w:t xml:space="preserve"> Digo isso porque a primeira versão do meu extrator produziu 488 casos, e ao conferir à mão encontrei erros graves: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*“XP atualiza Top Picks com Metal Leve </w:t>
      </w:r>
      <w:r>
        <w:rPr>
          <w:rFonts w:ascii="Times New Roman" w:hAnsi="Times New Roman"/>
          <w:b/>
          <w:sz w:val="24"/>
        </w:rPr>
        <w:t>no lugar de</w:t>
      </w:r>
      <w:r>
        <w:rPr>
          <w:rFonts w:ascii="Times New Roman" w:hAnsi="Times New Roman"/>
          <w:sz w:val="24"/>
        </w:rPr>
        <w:t xml:space="preserve"> Petrobras”* — é </w:t>
      </w:r>
      <w:r>
        <w:rPr>
          <w:rFonts w:ascii="Times New Roman" w:hAnsi="Times New Roman"/>
          <w:b/>
          <w:sz w:val="24"/>
        </w:rPr>
        <w:t>remoção</w:t>
      </w:r>
      <w:r>
        <w:rPr>
          <w:rFonts w:ascii="Times New Roman" w:hAnsi="Times New Roman"/>
          <w:sz w:val="24"/>
        </w:rPr>
        <w:t xml:space="preserve"> da carteira, e eu havia marcado como positivo;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*“Santander </w:t>
      </w:r>
      <w:r>
        <w:rPr>
          <w:rFonts w:ascii="Times New Roman" w:hAnsi="Times New Roman"/>
          <w:b/>
          <w:sz w:val="24"/>
        </w:rPr>
        <w:t>tira</w:t>
      </w:r>
      <w:r>
        <w:rPr>
          <w:rFonts w:ascii="Times New Roman" w:hAnsi="Times New Roman"/>
          <w:sz w:val="24"/>
        </w:rPr>
        <w:t xml:space="preserve"> Petrobras da carteira e recomenda 8 ações para comprar”* — mesma inversão;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*“Credit Suisse tem aposta acima da média para </w:t>
      </w:r>
      <w:r>
        <w:rPr>
          <w:rFonts w:ascii="Times New Roman" w:hAnsi="Times New Roman"/>
          <w:b/>
          <w:sz w:val="24"/>
        </w:rPr>
        <w:t>BR Distribuidora</w:t>
      </w:r>
      <w:r>
        <w:rPr>
          <w:rFonts w:ascii="Times New Roman" w:hAnsi="Times New Roman"/>
          <w:sz w:val="24"/>
        </w:rPr>
        <w:t>”* — o parecer nem era sobre a Petrobras.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Corrigi as três falhas</w:t>
      </w:r>
      <w:r>
        <w:rPr>
          <w:rFonts w:ascii="Times New Roman" w:hAnsi="Times New Roman"/>
          <w:sz w:val="24"/>
        </w:rPr>
        <w:t xml:space="preserve"> exigindo que a Petrobras esteja no título, que o veredicto esteja a menos de 110 caracteres da menção a ela, e descartando casos com verbo de remoção ou ressalva do tipo “mas não”. </w:t>
      </w:r>
      <w:r>
        <w:rPr>
          <w:rFonts w:ascii="Times New Roman" w:hAnsi="Times New Roman"/>
          <w:b/>
          <w:sz w:val="24"/>
        </w:rPr>
        <w:t>E o resultado mal se moveu: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O achado é estável às correções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Versão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Concordância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v1 — sem controle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488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26,8%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v2 — com proximidade e remoção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233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29,6%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v2 — mais o descarte de matérias-resumo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224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29,0%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Ainda assim, restam três ressalvas que peço para registrar: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Primeira — a amostra é enviesada para o positivo, e em parte isso é real.</w:t>
      </w:r>
      <w:r>
        <w:rPr>
          <w:rFonts w:ascii="Times New Roman" w:hAnsi="Times New Roman"/>
          <w:sz w:val="24"/>
        </w:rPr>
        <w:t xml:space="preserve"> 84,8% de pareceres favoráveis não descreve o noticiário; descreve o que as casas de análise publicam. É fato conhecido em finanças que a análise de venda — a *sell-side* — é estruturalmente otimista. </w:t>
      </w:r>
      <w:r>
        <w:rPr>
          <w:rFonts w:ascii="Times New Roman" w:hAnsi="Times New Roman"/>
          <w:b/>
          <w:sz w:val="24"/>
        </w:rPr>
        <w:t>Portanto este conjunto não serve para estimar a proporção de notícias boas e más no mundo.</w:t>
      </w:r>
      <w:r>
        <w:rPr>
          <w:rFonts w:ascii="Times New Roman" w:hAnsi="Times New Roman"/>
          <w:sz w:val="24"/>
        </w:rPr>
        <w:t xml:space="preserve"> Serve para o que se propõe: verificar se o nosso modelo reconhece um positivo quando um profissional declara um.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Segunda, e é a mais importante conceitualmente — não estamos medindo exatamente a mesma coisa.</w:t>
      </w:r>
      <w:r>
        <w:rPr>
          <w:rFonts w:ascii="Times New Roman" w:hAnsi="Times New Roman"/>
          <w:sz w:val="24"/>
        </w:rPr>
        <w:t xml:space="preserve"> O especialista diz *“isso é bom para a ação”*, que é um juízo de investimento. O FinBERT diz *“este texto tem tom positivo”*, que é um juízo linguístico. São parentes, não gêmeos. Uma manchete como *“XP eleva preço-alvo da Petrobras”* é factual no tom e favorável no juízo.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Mas repare que essa ressalva, longe de enfraquecer o achado, é o achado.</w:t>
      </w:r>
      <w:r>
        <w:rPr>
          <w:rFonts w:ascii="Times New Roman" w:hAnsi="Times New Roman"/>
          <w:sz w:val="24"/>
        </w:rPr>
        <w:t xml:space="preserve"> Se o que move o preço é o juízo de investimento, e o nosso artefato mede tom linguístico, </w:t>
      </w:r>
      <w:r>
        <w:rPr>
          <w:rFonts w:ascii="Times New Roman" w:hAnsi="Times New Roman"/>
          <w:b/>
          <w:sz w:val="24"/>
        </w:rPr>
        <w:t>então ele está medindo a coisa errada</w:t>
      </w:r>
      <w:r>
        <w:rPr>
          <w:rFonts w:ascii="Times New Roman" w:hAnsi="Times New Roman"/>
          <w:sz w:val="24"/>
        </w:rPr>
        <w:t xml:space="preserve"> — e isso explica, de uma vez, por que nove tentativas de melhorar o classificador falharam.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Terceira — resta erro de extração.</w:t>
      </w:r>
      <w:r>
        <w:rPr>
          <w:rFonts w:ascii="Times New Roman" w:hAnsi="Times New Roman"/>
          <w:sz w:val="24"/>
        </w:rPr>
        <w:t xml:space="preserve"> Estimo algo entre 5% e 15%, concentrado em manchetes que citam várias empresas. </w:t>
      </w:r>
      <w:r>
        <w:rPr>
          <w:rFonts w:ascii="Times New Roman" w:hAnsi="Times New Roman"/>
          <w:b/>
          <w:sz w:val="24"/>
        </w:rPr>
        <w:t>Por isso a planilha de auditoria acompanha este documento, com duas colunas em branco para conferência.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O QUE ISTO RESOLVE, E O QUE NÃO RESOLVE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Situação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Pergunta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Resposta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Existem especialistas que rotulam notícia da Petrobras?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— 224 casos, 30 casas, 8 anos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Dá para usar como gabarito?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SIM, após auditoria manual da planilha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nosso modelo concorda com eles?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— 29,0%, kappa 0,075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Onde está a falha?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na classe POSITIVA: 24,2% de concordância, contra 63,0% na negativa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Isso valida a previsão de preço?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— é outro experimento (o E1 do protocolo), ainda por fazer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não fiz, e explico por quê:</w:t>
      </w:r>
      <w:r>
        <w:rPr>
          <w:rFonts w:ascii="Times New Roman" w:hAnsi="Times New Roman"/>
          <w:sz w:val="24"/>
        </w:rPr>
        <w:t xml:space="preserve"> não usei o preço para conferir se o parecer do especialista se confirmou. Isso é a segunda metade do pedido dos senhores, e é um experimento separado — o E1 do protocolo. </w:t>
      </w:r>
      <w:r>
        <w:rPr>
          <w:rFonts w:ascii="Times New Roman" w:hAnsi="Times New Roman"/>
          <w:b/>
          <w:sz w:val="24"/>
        </w:rPr>
        <w:t>Misturar os dois seria erro:</w:t>
      </w:r>
      <w:r>
        <w:rPr>
          <w:rFonts w:ascii="Times New Roman" w:hAnsi="Times New Roman"/>
          <w:sz w:val="24"/>
        </w:rPr>
        <w:t xml:space="preserve"> se o especialista diz “notícia ruim” e a ação sobe, isso não torna o rótulo errado; apenas mostra que naquele pregão outra coisa pesou mais. E nós já demonstramos que é isso o que ocorre na maioria dos dias.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O QUE PEÇO E O QUE PROPONHO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Auditar a planilha</w:t>
      </w:r>
      <w:r>
        <w:rPr>
          <w:rFonts w:ascii="Times New Roman" w:hAnsi="Times New Roman"/>
          <w:sz w:val="24"/>
        </w:rPr>
        <w:t xml:space="preserve"> `_v2_para_auditoria.csv` — 224 linhas, duas colunas em branco. Uma hora de trabalho fecha o número.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Rodar o E1</w:t>
      </w:r>
      <w:r>
        <w:rPr>
          <w:rFonts w:ascii="Times New Roman" w:hAnsi="Times New Roman"/>
          <w:sz w:val="24"/>
        </w:rPr>
        <w:t xml:space="preserve"> — confrontar as previsões dos analistas com o preço observado. É a outra metade do pedido, e responde de frente à crítica de que 54,5% é pouco.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Reprocessar o corpus com os embeddings</w:t>
      </w:r>
      <w:r>
        <w:rPr>
          <w:rFonts w:ascii="Times New Roman" w:hAnsi="Times New Roman"/>
          <w:sz w:val="24"/>
        </w:rPr>
        <w:t xml:space="preserve">, e não com a cabeça de sentimento. Hashami e Maldonado (2025) mostram, no mesmo artigo e com o mesmo FinBERT, 0,5368 pela cabeça de sentimento contra 0,6694 pelos embeddings. </w:t>
      </w:r>
      <w:r>
        <w:rPr>
          <w:rFonts w:ascii="Times New Roman" w:hAnsi="Times New Roman"/>
          <w:b/>
          <w:sz w:val="24"/>
        </w:rPr>
        <w:t>Este experimento indica onde está o nosso 0,5368.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EM TRÊS FRASES, SE O TEMPO FOR CURTO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“Achei 224 notícias em que uma casa de análise disse publicamente se o fato era bom ou ruim para a Petrobras — de trinta casas, ao longo de oito anos. E elas já estavam dentro do meu corpus.”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 meu modelo concorda com esses profissionais em 29% dos casos. Quando eles dizem que a notícia é ruim, concordo em 63%. Quando dizem que é boa, em 24%.”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“Nas mesmas notícias, os analistas veem 84,8% de positivas e o meu modelo vê 21,9%. É a confirmação externa do viés que eu já suspeitava — e explica por que nove tentativas de consertar o classificador não deram em nada.”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