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0" w:before="300" w:line="300" w:lineRule="auto"/>
        <w:ind w:left="300" w:right="300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0" w:before="0" w:line="300" w:lineRule="auto"/>
        <w:ind w:left="300" w:right="30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5" w:line="300" w:lineRule="auto"/>
        <w:ind w:left="300" w:right="300" w:firstLine="0"/>
        <w:jc w:val="center"/>
        <w:rPr>
          <w:rFonts w:ascii="Arial" w:cs="Arial" w:eastAsia="Arial" w:hAnsi="Arial"/>
          <w:b w:val="1"/>
          <w:bCs w:val="1"/>
          <w:i w:val="0"/>
          <w:iCs w:val="0"/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8"/>
          <w:szCs w:val="28"/>
          <w:rtl w:val="0"/>
        </w:rPr>
        <w:t xml:space="preserve">UNIVERSIDADE IGUAÇU (UNIG)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300" w:right="300" w:firstLine="0"/>
        <w:jc w:val="center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CIÊNCIA DA COMPUTAÇÃO</w:t>
      </w:r>
    </w:p>
    <w:p w:rsidR="00000000" w:rsidDel="00000000" w:rsidP="00000000" w:rsidRDefault="00000000" w:rsidRPr="00000000" w14:paraId="00000005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0" w:before="0" w:line="300" w:lineRule="auto"/>
        <w:ind w:left="300" w:right="300" w:firstLine="0"/>
        <w:jc w:val="center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300" w:lineRule="auto"/>
        <w:ind w:left="300" w:right="300" w:firstLine="0"/>
        <w:jc w:val="center"/>
        <w:rPr>
          <w:rFonts w:ascii="Arial" w:cs="Arial" w:eastAsia="Arial" w:hAnsi="Arial"/>
          <w:b w:val="1"/>
          <w:bCs w:val="1"/>
          <w:i w:val="0"/>
          <w:iCs w:val="0"/>
          <w:color w:val="000000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TEMA INTEGRADOR VIII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300" w:right="300" w:firstLine="0"/>
        <w:jc w:val="center"/>
        <w:rPr>
          <w:rFonts w:ascii="Arial" w:cs="Arial" w:eastAsia="Arial" w:hAnsi="Arial"/>
          <w:b w:val="1"/>
          <w:bCs w:val="1"/>
          <w:i w:val="0"/>
          <w:iCs w:val="0"/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8"/>
          <w:szCs w:val="28"/>
          <w:rtl w:val="0"/>
        </w:rPr>
        <w:t xml:space="preserve">Linguagem de Comunicação Alternativa e Aumentativa (CAA) e Testador em Python para Comunicação Acessível e Validação Formal</w:t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0" w:line="300" w:lineRule="auto"/>
        <w:ind w:left="300" w:right="300" w:firstLine="0"/>
        <w:jc w:val="both"/>
        <w:rPr>
          <w:rFonts w:ascii="Arial" w:cs="Arial" w:eastAsia="Arial" w:hAnsi="Arial"/>
          <w:b w:val="1"/>
          <w:bCs w:val="1"/>
          <w:i w:val="0"/>
          <w:iCs w:val="0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300" w:right="300" w:firstLine="0"/>
        <w:jc w:val="both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Relatório acadêmico apresentado como requisito parcial de aprovação na disciplina de Tema Integrador VIII – Projeto de Linguagens, 8º Período, Carga Horária: 60h. Tipo de Projeto: Extensionista. Alinhado ao ODS 10 – Redução das Desigualdades.</w:t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300" w:right="300" w:firstLine="0"/>
        <w:jc w:val="both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Autor: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 Vanderson Cardozo Curty</w:t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300" w:right="300" w:firstLine="0"/>
        <w:jc w:val="center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300" w:right="300" w:firstLine="0"/>
        <w:jc w:val="center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Nova Iguaçu</w:t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300" w:right="300" w:firstLine="0"/>
        <w:jc w:val="center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2026</w:t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300" w:right="300" w:firstLine="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0" w:before="0" w:line="300" w:lineRule="auto"/>
        <w:ind w:left="300" w:right="300" w:firstLine="0"/>
        <w:jc w:val="both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before="225" w:line="300" w:lineRule="auto"/>
        <w:ind w:left="300" w:right="300" w:firstLine="0"/>
        <w:jc w:val="center"/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RESUMO</w:t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0" w:line="300" w:lineRule="auto"/>
        <w:ind w:left="300" w:right="300" w:firstLine="708.6614173228347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Este relatório apresenta o desenvolvimento do projeto "Relógio da Fala", uma placa de Comunicação Alternativa e Aumentativa (CAA) em formato de relógio com 16 símbolos e dois ponteiros independentes. O projeto visa promover a inclusão comunicacional de crianças com Transtorno do Espectro Autista (TEA) e idosos. A linguagem formal foi definida usando a notação BNF/EBNF, e o validador foi implementado em Python com analisador léxico e sintático. A interface digital inclu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uma versão desktop com pygame-ce e uma versão web responsiva com Flask, integração com VLibras para tradução em Libras, síntese de voz e pictogramas ARASAAC para comunicação visual.</w:t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300" w:right="300" w:firstLine="0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Palavras-chave: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Comunicação Alternativa e Aumentativa. BNF/EBNF. Python. Flask. VLibras. ARASAAC. Pictogramas. Acessibilidade. Inclusão Social.</w:t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0" w:line="300" w:lineRule="auto"/>
        <w:ind w:left="300" w:right="300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before="300" w:line="300" w:lineRule="auto"/>
        <w:ind w:left="300" w:right="300" w:firstLine="0"/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1. INTRODUÇÃO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300" w:lineRule="auto"/>
        <w:ind w:left="300" w:right="300" w:firstLine="708.6614173228347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O presente relatório apresenta o desenvolvimento do projeto "Relógio da Fala", uma placa de Comunicação Alternativa e Aumentativa (CAA) em formato de relógio com 16 símbolos e dois ponteiros independentes. O projeto visa promover a inclusão comunicacional de pessoas com necessidades complexas de comunicação, especificamente crianças com Transtorno do Espectro Autista (TEA) e idosos. A abordagem extensionista permitiu identificar necessidades reais por meio de entrevista com pais de criança autista não verbal, garantindo que o projeto atendesse demandas efetivas da comunidade.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300" w:lineRule="auto"/>
        <w:ind w:left="300" w:right="300" w:firstLine="708.6614173228347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A Comunicação Alternativa e Aumentativa (CAA) constitui um conjunto de recursos, métodos e estratégias destinados a complementar ou substituir a fala e a escrita tradicional para indivíduos que possuem dificuldades severas na comunicação oral (BEUKELMAN; LIGHT, 2020). Segundo a Lei Brasileira de Inclusão (Lei nº 13.146/2015), o acesso à comunicação é um direito fundamental da pessoa com deficiência.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0" w:line="300" w:lineRule="auto"/>
        <w:ind w:left="300" w:right="300" w:firstLine="708.6614173228347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O projeto se alinha ao Objetivo de Desenvolvimento Sustentável (ODS) 10 – Redução das Desigualdades, promovendo a inclusão social de pessoas em situação de vulnerabilidade (Meta 10.2) e garantindo igualdade de oportunidades com a remoção de barreiras comunicacionais (Meta 10.3).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0" w:line="300" w:lineRule="auto"/>
        <w:ind w:left="300" w:right="300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before="300" w:line="300" w:lineRule="auto"/>
        <w:ind w:left="300" w:right="300" w:firstLine="0"/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2. FUNDAMENTAÇÃO TEÓRICA</w:t>
      </w:r>
    </w:p>
    <w:p w:rsidR="00000000" w:rsidDel="00000000" w:rsidP="00000000" w:rsidRDefault="00000000" w:rsidRPr="00000000" w14:paraId="0000001A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5" w:before="0" w:line="300" w:lineRule="auto"/>
        <w:ind w:left="300" w:right="300" w:firstLine="0"/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2.1 Comunicação Alternativa e Aumentativa (CAA)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300" w:lineRule="auto"/>
        <w:ind w:left="300" w:right="300" w:firstLine="708.6614173228347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A CAA é definida como "qualquer forma de comunicação que complementa ou substitui a fala quando ela não está disponível ou é insuficiente" (ISAAC BRASIL, s.d.). Ela pode ser utilizada de forma permanente, como no caso de crianças com autismo não-verbal ou com paralisia cerebral, ou de forma temporária, como durante a recuperação de um AVC.</w:t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5" w:line="300" w:lineRule="auto"/>
        <w:ind w:left="300" w:right="300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Os recursos de CAA são classificados em: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right="300" w:hanging="360"/>
        <w:jc w:val="both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Sem ajuda: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gestos, expressões faciais, linguagem de sinais (Libras)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right="300" w:hanging="360"/>
        <w:jc w:val="both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Baixa tecnologia: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pranchas de comunicação, cartões com símbolos gráficos, sistema PECS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right="300" w:hanging="360"/>
        <w:jc w:val="both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Alta tecnologia: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aplicativos em tablet/computador, vocalizadores, softwares de comunicação</w:t>
      </w:r>
    </w:p>
    <w:p w:rsidR="00000000" w:rsidDel="00000000" w:rsidP="00000000" w:rsidRDefault="00000000" w:rsidRPr="00000000" w14:paraId="00000020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300" w:lineRule="auto"/>
        <w:ind w:left="300" w:right="300" w:firstLine="0"/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2.2 Público-Alvo</w:t>
      </w:r>
    </w:p>
    <w:p w:rsidR="00000000" w:rsidDel="00000000" w:rsidP="00000000" w:rsidRDefault="00000000" w:rsidRPr="00000000" w14:paraId="00000021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5" w:before="0" w:line="300" w:lineRule="auto"/>
        <w:ind w:left="300" w:right="300" w:firstLine="0"/>
        <w:rPr>
          <w:rFonts w:ascii="Arial" w:cs="Arial" w:eastAsia="Arial" w:hAnsi="Arial"/>
          <w:b w:val="1"/>
          <w:bCs w:val="1"/>
          <w:i w:val="1"/>
          <w:iCs w:val="1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00000"/>
          <w:sz w:val="24"/>
          <w:szCs w:val="24"/>
          <w:rtl w:val="0"/>
        </w:rPr>
        <w:t xml:space="preserve">2.2.1 Crianças com Transtorno do Espectro Autista (TEA)</w:t>
      </w:r>
    </w:p>
    <w:p w:rsidR="00000000" w:rsidDel="00000000" w:rsidP="00000000" w:rsidRDefault="00000000" w:rsidRPr="00000000" w14:paraId="000000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300" w:lineRule="auto"/>
        <w:ind w:left="300" w:right="300" w:firstLine="708.6614173228347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Estudos indicam que entre um terço e até metade das crianças minimamente verbais com TEA podem se beneficiar significativamente da CAA em aspectos como expressão de necessidades, ampliação do repertório comunicativo e participação social (GENIALCARE, 2025). O TEA é caracterizado por déficits na comunicação e interação social, podendo resultar em atrasos significativos no desenvolvimento da fala.</w:t>
      </w:r>
    </w:p>
    <w:p w:rsidR="00000000" w:rsidDel="00000000" w:rsidP="00000000" w:rsidRDefault="00000000" w:rsidRPr="00000000" w14:paraId="00000023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5" w:before="0" w:line="300" w:lineRule="auto"/>
        <w:ind w:left="300" w:right="300" w:firstLine="0"/>
        <w:rPr>
          <w:rFonts w:ascii="Arial" w:cs="Arial" w:eastAsia="Arial" w:hAnsi="Arial"/>
          <w:b w:val="1"/>
          <w:bCs w:val="1"/>
          <w:i w:val="1"/>
          <w:iCs w:val="1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00000"/>
          <w:sz w:val="24"/>
          <w:szCs w:val="24"/>
          <w:rtl w:val="0"/>
        </w:rPr>
        <w:t xml:space="preserve">2.2.2 Idosos</w:t>
      </w:r>
    </w:p>
    <w:p w:rsidR="00000000" w:rsidDel="00000000" w:rsidP="00000000" w:rsidRDefault="00000000" w:rsidRPr="00000000" w14:paraId="000000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="300" w:lineRule="auto"/>
        <w:ind w:left="300" w:right="300" w:firstLine="708.6614173228347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Pessoas idosas podem apresentar dificuldades comunicacionais decorrentes de condições como demência, AVC (Acidente Vascular Cerebral) e declínio cognitivo. A CAA nes</w:t>
      </w:r>
      <w:r w:rsidDel="00000000" w:rsidR="00000000" w:rsidRPr="00000000">
        <w:rPr>
          <w:rtl w:val="0"/>
        </w:rPr>
        <w:t xml:space="preserve">ses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ca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os visa preservar a autonomia e a qualidade de vida, permitindo que o idoso expresse suas necessidades básicas e emocionais.</w:t>
      </w:r>
    </w:p>
    <w:p w:rsidR="00000000" w:rsidDel="00000000" w:rsidP="00000000" w:rsidRDefault="00000000" w:rsidRPr="00000000" w14:paraId="00000025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5" w:before="0" w:line="300" w:lineRule="auto"/>
        <w:ind w:left="300" w:right="300" w:firstLine="0"/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2.3 Formalização com BNF/EBNF</w:t>
      </w:r>
    </w:p>
    <w:p w:rsidR="00000000" w:rsidDel="00000000" w:rsidP="00000000" w:rsidRDefault="00000000" w:rsidRPr="00000000" w14:paraId="000000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="300" w:lineRule="auto"/>
        <w:ind w:left="300" w:right="300" w:firstLine="708.6614173228347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A Notação BNF (Backus-Naur Form) é uma metalinguagem formal utilizada para descrever a sintaxe de linguagens de programação e outras linguagens formais (ISO/IEC, 1996). A versão estendida (EBNF) permite uma descrição mais compacta e flexível das regras gramaticais. No contexto deste projeto, a BNF/EBNF é utilizada para formalizar as regras de construção de frases válidas na linguagem CAA do Relógio da Fala, permitindo a validação automática por meio de um analisador sintático (parser).</w:t>
      </w:r>
    </w:p>
    <w:p w:rsidR="00000000" w:rsidDel="00000000" w:rsidP="00000000" w:rsidRDefault="00000000" w:rsidRPr="00000000" w14:paraId="00000027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5" w:before="0" w:line="300" w:lineRule="auto"/>
        <w:ind w:left="300" w:right="300" w:firstLine="0"/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2.4 Engenharia de Linguagens</w:t>
      </w:r>
    </w:p>
    <w:p w:rsidR="00000000" w:rsidDel="00000000" w:rsidP="00000000" w:rsidRDefault="00000000" w:rsidRPr="00000000" w14:paraId="000000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5" w:line="300" w:lineRule="auto"/>
        <w:ind w:left="300" w:right="300" w:firstLine="708.6614173228347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A Engenharia de Linguagens é uma área da computação que trata da especificação, implementação e caracterização de linguagens de programação e sistemas de programação (HOPCROFT; MOTWANI; ULLMAN, 2006). Os componentes fundamentais são: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right="300" w:hanging="360"/>
        <w:jc w:val="both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Analisador Léxico (Scanner):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transforma o código-fonte em uma sequência de tokens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right="300" w:hanging="360"/>
        <w:jc w:val="both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Analisador Sintático (Parser):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valida a estrutura sintática dos tokens segundo a gramática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right="300" w:hanging="360"/>
        <w:jc w:val="both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Gramática: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conjunto de regras que define as frases válidas da linguagem</w:t>
      </w:r>
    </w:p>
    <w:p w:rsidR="00000000" w:rsidDel="00000000" w:rsidP="00000000" w:rsidRDefault="00000000" w:rsidRPr="00000000" w14:paraId="0000002C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5" w:line="300" w:lineRule="auto"/>
        <w:ind w:left="300" w:right="300" w:firstLine="0"/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2.5 Interface Web com Flask</w:t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="300" w:lineRule="auto"/>
        <w:ind w:left="300" w:right="300" w:firstLine="708.6614173228347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O Flask é um microframework web em Python que permite a criação de aplicações web de forma simples e flexível (FLASK, s.d.). Neste projeto, o Flask foi utilizado para criar uma interface web responsiva com design moderno, incluindo relógio interativo com Canvas, síntese de voz e integração com VLibras.</w:t>
      </w:r>
    </w:p>
    <w:p w:rsidR="00000000" w:rsidDel="00000000" w:rsidP="00000000" w:rsidRDefault="00000000" w:rsidRPr="00000000" w14:paraId="0000002E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5" w:before="0" w:line="300" w:lineRule="auto"/>
        <w:ind w:left="300" w:right="300" w:firstLine="0"/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2.6 VLibras</w:t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0" w:line="300" w:lineRule="auto"/>
        <w:ind w:left="300" w:right="300" w:firstLine="708.6614173228347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O VLibras é uma suíte de ferramentas gratuitas e de código aberto desenvolvida pelo governo brasileiro para tradução automática de conteúdos digitais em Português para Libras (Língua Brasileira de Sinais) (VLIBRAS, s.d.). O VLibras Widget permite a integração de avatares 3D que assinam em Libras, tornando o conteúdo acessível para pessoas surdas.</w:t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0" w:line="300" w:lineRule="auto"/>
        <w:ind w:left="300" w:right="300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before="300" w:line="300" w:lineRule="auto"/>
        <w:ind w:left="300" w:right="300" w:firstLine="0"/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3. METODOLOGIA</w:t>
      </w:r>
    </w:p>
    <w:p w:rsidR="00000000" w:rsidDel="00000000" w:rsidP="00000000" w:rsidRDefault="00000000" w:rsidRPr="00000000" w14:paraId="0000003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5" w:before="0" w:line="300" w:lineRule="auto"/>
        <w:ind w:left="300" w:right="300" w:firstLine="0"/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3.1 Metodologia Extensionista</w:t>
      </w:r>
    </w:p>
    <w:p w:rsidR="00000000" w:rsidDel="00000000" w:rsidP="00000000" w:rsidRDefault="00000000" w:rsidRPr="00000000" w14:paraId="000000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5" w:line="300" w:lineRule="auto"/>
        <w:ind w:left="300" w:right="300" w:firstLine="708.6614173228347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O projeto adota uma abordagem extensionista, buscando aplicar os conhecimentos adquiridos no curso de Engenharia de Software para atender uma necessidade real da comunidade. A metodologia consistiu nas seguintes etapas: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right="300" w:hanging="360"/>
        <w:jc w:val="both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Identificação do público-alvo: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contato com um membro da comunidade que possui filho com Transtorno do Espectro Autista (TEA) com comunicação limitada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right="300" w:hanging="360"/>
        <w:jc w:val="both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Levantamento de requisitos: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entrevista semiestruturada via Discord para entender as necessidades comunicativas do usuário final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right="300" w:hanging="360"/>
        <w:jc w:val="both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Definição dos símbolos: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seleção dos 16 símbolos mais utilizados com base nas necessidades identificadas na entrevista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right="300" w:hanging="360"/>
        <w:jc w:val="both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Desenvolvimento: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implementação do protótipo digital (Flask + Canvas) e planejamento da placa física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right="300" w:hanging="360"/>
        <w:jc w:val="both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Validação: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testes com a gramática formal e validação das combinações comunicativas</w:t>
      </w:r>
    </w:p>
    <w:p w:rsidR="00000000" w:rsidDel="00000000" w:rsidP="00000000" w:rsidRDefault="00000000" w:rsidRPr="00000000" w14:paraId="00000039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5" w:before="150" w:line="300" w:lineRule="auto"/>
        <w:ind w:left="300" w:right="300" w:firstLine="0"/>
        <w:rPr>
          <w:rFonts w:ascii="Arial" w:cs="Arial" w:eastAsia="Arial" w:hAnsi="Arial"/>
          <w:b w:val="1"/>
          <w:bCs w:val="1"/>
          <w:i w:val="1"/>
          <w:iCs w:val="1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00000"/>
          <w:sz w:val="24"/>
          <w:szCs w:val="24"/>
          <w:rtl w:val="0"/>
        </w:rPr>
        <w:t xml:space="preserve">3.1.1 Entrevista com Usuário</w:t>
      </w:r>
    </w:p>
    <w:p w:rsidR="00000000" w:rsidDel="00000000" w:rsidP="00000000" w:rsidRDefault="00000000" w:rsidRPr="00000000" w14:paraId="000000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300" w:lineRule="auto"/>
        <w:ind w:left="300" w:right="300" w:firstLine="708.6614173228347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Foi realizada uma entrevista semiestruturada via Discord com um amigo biólogo da mesma cidade, pai de um filho de </w:t>
      </w:r>
      <w:r w:rsidDel="00000000" w:rsidR="00000000" w:rsidRPr="00000000">
        <w:rPr>
          <w:rtl w:val="0"/>
        </w:rPr>
        <w:t xml:space="preserve">9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anos com TEA não verbal. A entrevista durou aproximadamente 45 minutos e teve como objetivo compreender as necessidades comunicativas do dia a dia e como uma placa CAA poderia auxiliar no processo comunicativo.</w:t>
      </w:r>
    </w:p>
    <w:p w:rsidR="00000000" w:rsidDel="00000000" w:rsidP="00000000" w:rsidRDefault="00000000" w:rsidRPr="00000000" w14:paraId="000000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300" w:lineRule="auto"/>
        <w:ind w:left="300" w:right="300" w:firstLine="708.6614173228347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Roteiro da Entrevista (via Discord):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A entrevista foi conduzida de forma semiestruturada, abordando temas como o modo de comunicação do dia a dia, as dificuldades enfrentadas, necessidades mais urgentes e sugestões para o projeto. A seguir, apresenta-se um resumo das respostas obtidas.</w:t>
      </w:r>
    </w:p>
    <w:p w:rsidR="00000000" w:rsidDel="00000000" w:rsidP="00000000" w:rsidRDefault="00000000" w:rsidRPr="00000000" w14:paraId="000000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300" w:lineRule="auto"/>
        <w:ind w:left="300" w:right="300" w:firstLine="708.6614173228347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A comunicação do filho não é trivial, mas com o tempo de convivência a família aprendeu a interpretar o que ele quer expressar. Ele produz algumas palavras isoladas, como "água" e "banheiro", mas não forma frases — são apenas palavras soltas, o que torna a comunicação limitada e dependente do contexto. Por exemplo, ele diz "vem cá" tanto quando quer sair de um lugar quanto quando quer voltar para casa, o que gera ambiguidade e exige que os pais prestem atenção em outros sinais, como gestos e expressões, para entender a intenção real. </w:t>
      </w:r>
      <w:r w:rsidDel="00000000" w:rsidR="00000000" w:rsidRPr="00000000">
        <w:rPr>
          <w:rtl w:val="0"/>
        </w:rPr>
        <w:t xml:space="preserve">Embora tenha dificuldade de fala, ele consegue entender o que as pessoas dizem ao seu redor, e até a atender comandos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. A família já experimentou pranchas de comunicação em tablet, mas o filho não se interessou — o visual era confuso e a quantidade de opções o dispersava. O pai mencionou que o filho se interessa por coisas visuais e sonoras, e que algo com poucos símbolos e interativo poderia chamar mais atenção. As necessidades mais urgentes identificadas foram: comunicar fome e sede, necessidade de banheiro, vontade de sair ou voltar para casa, dor, e principalmente expressar emoções como alegria e tristeza.</w:t>
      </w:r>
    </w:p>
    <w:p w:rsidR="00000000" w:rsidDel="00000000" w:rsidP="00000000" w:rsidRDefault="00000000" w:rsidRPr="00000000" w14:paraId="000000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="300" w:lineRule="auto"/>
        <w:ind w:left="300" w:right="300" w:firstLine="708.6614173228347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Com base nas respostas obtidas, foram definidos os 16 símbolos priorizando as necessidades identificadas: alimentação (comer, beber, água, comida), necessidades básicas (banheiro, sair), comunicação de dor e ajuda, e expressão de emoções (feliz, triste). A ambiguidade observada na fala do filho ("vem cá" com múltiplos significados) reforçou a importância de combinações de dois símbolos para formar mensagens mais claras. A sugestão de elementos visuais interativos reforçou a escolha do formato de relógio com ponteiros arrastáveis.</w:t>
      </w:r>
    </w:p>
    <w:p w:rsidR="00000000" w:rsidDel="00000000" w:rsidP="00000000" w:rsidRDefault="00000000" w:rsidRPr="00000000" w14:paraId="0000003E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5" w:before="0" w:line="300" w:lineRule="auto"/>
        <w:ind w:left="300" w:right="300" w:firstLine="0"/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3.2 Descrição do Projeto</w:t>
      </w:r>
    </w:p>
    <w:p w:rsidR="00000000" w:rsidDel="00000000" w:rsidP="00000000" w:rsidRDefault="00000000" w:rsidRPr="00000000" w14:paraId="000000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300" w:lineRule="auto"/>
        <w:ind w:left="300" w:right="300" w:firstLine="708.6614173228347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O "Relógio da Fala" é uma placa circular inspirada em relógio com 16 símbolos organizados em 4 quadrantes:</w:t>
      </w:r>
    </w:p>
    <w:p w:rsidR="00000000" w:rsidDel="00000000" w:rsidP="00000000" w:rsidRDefault="00000000" w:rsidRPr="00000000" w14:paraId="000000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5" w:line="300" w:lineRule="auto"/>
        <w:ind w:left="300" w:right="300" w:firstLine="0"/>
        <w:rPr>
          <w:rFonts w:ascii="Arial" w:cs="Arial" w:eastAsia="Arial" w:hAnsi="Arial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Tabela 1 — Organização dos símbolos por quadrante</w:t>
      </w:r>
    </w:p>
    <w:tbl>
      <w:tblPr>
        <w:tblStyle w:val="Table1"/>
        <w:tblW w:w="8760.0" w:type="dxa"/>
        <w:jc w:val="left"/>
        <w:tblInd w:w="300.0" w:type="dxa"/>
        <w:tblBorders>
          <w:top w:color="dddddd" w:space="0" w:sz="6" w:val="single"/>
          <w:left w:color="dddddd" w:space="0" w:sz="6" w:val="single"/>
          <w:bottom w:color="dddddd" w:space="0" w:sz="6" w:val="single"/>
          <w:right w:color="dddddd" w:space="0" w:sz="6" w:val="single"/>
          <w:insideH w:color="dddddd" w:space="0" w:sz="6" w:val="single"/>
          <w:insideV w:color="dddddd" w:space="0" w:sz="6" w:val="single"/>
        </w:tblBorders>
        <w:tblLayout w:type="fixed"/>
        <w:tblLook w:val="0600"/>
      </w:tblPr>
      <w:tblGrid>
        <w:gridCol w:w="2190"/>
        <w:gridCol w:w="2190"/>
        <w:gridCol w:w="2190"/>
        <w:gridCol w:w="2190"/>
        <w:tblGridChange w:id="0">
          <w:tblGrid>
            <w:gridCol w:w="2190"/>
            <w:gridCol w:w="2190"/>
            <w:gridCol w:w="2190"/>
            <w:gridCol w:w="219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shd w:fill="auto" w:val="clear"/>
                <w:rtl w:val="0"/>
              </w:rPr>
              <w:t xml:space="preserve">Quadrante</w:t>
            </w:r>
          </w:p>
        </w:tc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shd w:fill="auto" w:val="clear"/>
                <w:rtl w:val="0"/>
              </w:rPr>
              <w:t xml:space="preserve">Posições</w:t>
            </w:r>
          </w:p>
        </w:tc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shd w:fill="auto" w:val="clear"/>
                <w:rtl w:val="0"/>
              </w:rPr>
              <w:t xml:space="preserve">Classe Gramatical</w:t>
            </w:r>
          </w:p>
        </w:tc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shd w:fill="auto" w:val="clear"/>
                <w:rtl w:val="0"/>
              </w:rPr>
              <w:t xml:space="preserve">Símbolos</w:t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00" w:right="30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Q1 (NE)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1-4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Sujeitos/Confirmação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EU, VOCÊ, SIM, NÃO</w:t>
            </w:r>
          </w:p>
        </w:tc>
      </w:tr>
      <w:tr>
        <w:trPr>
          <w:cantSplit w:val="0"/>
          <w:tblHeader w:val="0"/>
        </w:trPr>
        <w:tc>
          <w:tcPr>
            <w:shd w:fill="fafa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Q2 (SE)</w:t>
            </w:r>
          </w:p>
        </w:tc>
        <w:tc>
          <w:tcPr>
            <w:shd w:fill="fafa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5-8</w:t>
            </w:r>
          </w:p>
        </w:tc>
        <w:tc>
          <w:tcPr>
            <w:shd w:fill="fafa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Verbos/Ações</w:t>
            </w:r>
          </w:p>
        </w:tc>
        <w:tc>
          <w:tcPr>
            <w:shd w:fill="fafa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QUERO, PRECISO, COMER, BEBER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Q3 (SO)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9-12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Objetos/Necessidades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ÁGUA, COMIDA, BANHEIRO, SAIR</w:t>
            </w:r>
          </w:p>
        </w:tc>
      </w:tr>
      <w:tr>
        <w:trPr>
          <w:cantSplit w:val="0"/>
          <w:tblHeader w:val="0"/>
        </w:trPr>
        <w:tc>
          <w:tcPr>
            <w:shd w:fill="fafa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Q4 (NO)</w:t>
            </w:r>
          </w:p>
        </w:tc>
        <w:tc>
          <w:tcPr>
            <w:shd w:fill="fafa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13-16</w:t>
            </w:r>
          </w:p>
        </w:tc>
        <w:tc>
          <w:tcPr>
            <w:shd w:fill="fafa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Emoções/Estados</w:t>
            </w:r>
          </w:p>
        </w:tc>
        <w:tc>
          <w:tcPr>
            <w:shd w:fill="fafa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FELIZ, TRISTE, DOR, AJUDA</w:t>
            </w:r>
          </w:p>
        </w:tc>
      </w:tr>
    </w:tbl>
    <w:p w:rsidR="00000000" w:rsidDel="00000000" w:rsidP="00000000" w:rsidRDefault="00000000" w:rsidRPr="00000000" w14:paraId="000000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before="225" w:line="300" w:lineRule="auto"/>
        <w:ind w:left="300" w:right="300" w:firstLine="0"/>
        <w:rPr>
          <w:rFonts w:ascii="Arial" w:cs="Arial" w:eastAsia="Arial" w:hAnsi="Arial"/>
          <w:color w:val="000000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color w:val="000000"/>
          <w:sz w:val="18"/>
          <w:szCs w:val="18"/>
          <w:rtl w:val="0"/>
        </w:rPr>
        <w:t xml:space="preserve">Fonte: Elaborado pelo autor (2026).</w:t>
      </w:r>
    </w:p>
    <w:p w:rsidR="00000000" w:rsidDel="00000000" w:rsidP="00000000" w:rsidRDefault="00000000" w:rsidRPr="00000000" w14:paraId="000000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="300" w:lineRule="auto"/>
        <w:ind w:left="300" w:right="300" w:firstLine="708.6614173228347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Dois ponteiros (curto e longo) permitem ao usuário selecionar 2 símbolos que combinados formam uma mensagem. A gramática BNF/EBNF define quais combinações são válidas.</w:t>
      </w:r>
    </w:p>
    <w:p w:rsidR="00000000" w:rsidDel="00000000" w:rsidP="00000000" w:rsidRDefault="00000000" w:rsidRPr="00000000" w14:paraId="00000058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5" w:before="0" w:line="300" w:lineRule="auto"/>
        <w:ind w:left="300" w:right="300" w:firstLine="0"/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3.3 Gramática BNF/EBNF</w:t>
      </w:r>
    </w:p>
    <w:p w:rsidR="00000000" w:rsidDel="00000000" w:rsidP="00000000" w:rsidRDefault="00000000" w:rsidRPr="00000000" w14:paraId="000000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75" w:before="150" w:line="300" w:lineRule="auto"/>
        <w:ind w:left="450" w:right="450" w:firstLine="0"/>
        <w:rPr>
          <w:rFonts w:ascii="Arial" w:cs="Arial" w:eastAsia="Arial" w:hAnsi="Arial"/>
          <w:color w:val="000000"/>
          <w:sz w:val="20"/>
          <w:szCs w:val="20"/>
          <w:shd w:fill="f9f9f9" w:val="clear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shd w:fill="f9f9f9" w:val="clear"/>
          <w:rtl w:val="0"/>
        </w:rPr>
        <w:t xml:space="preserve">&lt;frase&gt; ::= &lt;combinacao&gt;  </w:t>
        <w:br w:type="textWrapping"/>
        <w:t xml:space="preserve">&lt;combinacao&gt; ::= &lt;ponteiro1&gt; &lt;ponteiro2&gt;  </w:t>
        <w:br w:type="textWrapping"/>
        <w:t xml:space="preserve">&lt;ponteiro1&gt; ::= &lt;SUJEITO&gt; | &lt;EMOCAO&gt;  </w:t>
        <w:br w:type="textWrapping"/>
        <w:t xml:space="preserve">&lt;ponteiro2&gt; ::= &lt;VERBO&gt; | &lt;OBJETO&gt; | &lt;ESTADO&gt;  </w:t>
        <w:br w:type="textWrapping"/>
        <w:t xml:space="preserve">&lt;SUJEITO&gt; ::= "Eu" | "Você"  </w:t>
        <w:br w:type="textWrapping"/>
        <w:t xml:space="preserve">&lt;VERBO&gt; ::= "quero" | "preciso" | "comer" | "beber"  </w:t>
        <w:br w:type="textWrapping"/>
        <w:t xml:space="preserve">&lt;OBJETO&gt; ::= "água" | "comida" | "banheiro" | "sair"  </w:t>
        <w:br w:type="textWrapping"/>
        <w:t xml:space="preserve">&lt;EMOCAO&gt; ::= "feliz" | "triste" | "dor" | "ajuda"  </w:t>
        <w:br w:type="textWrapping"/>
        <w:t xml:space="preserve">&lt;ESTADO&gt; ::= "sim" | "não"</w:t>
        <w:br w:type="textWrapping"/>
        <w:t xml:space="preserve">    </w:t>
      </w:r>
    </w:p>
    <w:p w:rsidR="00000000" w:rsidDel="00000000" w:rsidP="00000000" w:rsidRDefault="00000000" w:rsidRPr="00000000" w14:paraId="0000005A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5" w:before="0" w:line="300" w:lineRule="auto"/>
        <w:ind w:left="300" w:right="300" w:firstLine="0"/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3.4 Implementação Desktop (Python)</w:t>
      </w:r>
    </w:p>
    <w:p w:rsidR="00000000" w:rsidDel="00000000" w:rsidP="00000000" w:rsidRDefault="00000000" w:rsidRPr="00000000" w14:paraId="000000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5" w:line="300" w:lineRule="auto"/>
        <w:ind w:left="300" w:right="300" w:firstLine="708.6614173228347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O sistema foi implementado em Python com os seguintes módulos:</w:t>
      </w:r>
    </w:p>
    <w:p w:rsidR="00000000" w:rsidDel="00000000" w:rsidP="00000000" w:rsidRDefault="00000000" w:rsidRPr="00000000" w14:paraId="0000005C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right="300" w:hanging="360"/>
        <w:jc w:val="both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gramatica.py: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definição dos tokens, posições da placa e 102 combinações válidas</w:t>
      </w:r>
    </w:p>
    <w:p w:rsidR="00000000" w:rsidDel="00000000" w:rsidP="00000000" w:rsidRDefault="00000000" w:rsidRPr="00000000" w14:paraId="0000005D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right="300" w:hanging="360"/>
        <w:jc w:val="both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scanner.py: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analisador léxico usando expressões regulares (biblioteca `re`)</w:t>
      </w:r>
    </w:p>
    <w:p w:rsidR="00000000" w:rsidDel="00000000" w:rsidP="00000000" w:rsidRDefault="00000000" w:rsidRPr="00000000" w14:paraId="0000005E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right="300" w:hanging="360"/>
        <w:jc w:val="both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parser.py: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analisador sintático descendente recursivo</w:t>
      </w:r>
    </w:p>
    <w:p w:rsidR="00000000" w:rsidDel="00000000" w:rsidP="00000000" w:rsidRDefault="00000000" w:rsidRPr="00000000" w14:paraId="0000005F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right="300" w:hanging="360"/>
        <w:jc w:val="both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interface.py: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interface gráfica com pygame-ce (ponteiros arrastáveis)</w:t>
      </w:r>
    </w:p>
    <w:p w:rsidR="00000000" w:rsidDel="00000000" w:rsidP="00000000" w:rsidRDefault="00000000" w:rsidRPr="00000000" w14:paraId="00000060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right="300" w:hanging="360"/>
        <w:jc w:val="both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voz.py: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síntese de voz usando pyttsx3 (offline) ou gTTS (online, priorizado)</w:t>
      </w:r>
    </w:p>
    <w:p w:rsidR="00000000" w:rsidDel="00000000" w:rsidP="00000000" w:rsidRDefault="00000000" w:rsidRPr="00000000" w14:paraId="00000061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right="300" w:hanging="360"/>
        <w:jc w:val="both"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main.py: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ponto de entrada com menu, modo texto, interface e testes</w:t>
      </w:r>
    </w:p>
    <w:p w:rsidR="00000000" w:rsidDel="00000000" w:rsidP="00000000" w:rsidRDefault="00000000" w:rsidRPr="00000000" w14:paraId="0000006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5" w:line="300" w:lineRule="auto"/>
        <w:ind w:left="300" w:right="300" w:firstLine="0"/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3.5 Implementação Web (Flask)</w:t>
      </w:r>
    </w:p>
    <w:p w:rsidR="00000000" w:rsidDel="00000000" w:rsidP="00000000" w:rsidRDefault="00000000" w:rsidRPr="00000000" w14:paraId="000000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300" w:lineRule="auto"/>
        <w:ind w:left="300" w:right="300" w:firstLine="708.6614173228347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A interface web foi desenvolvida com Flask e inclui: app.py (aplicação Flask com rotas para API e páginas), templates/ (templates HTML com Jinja2), static/css/ (estilos CSS com design moderno) e static/js/ (JavaScript interativo com Canvas para o relógio).</w:t>
      </w:r>
    </w:p>
    <w:p w:rsidR="00000000" w:rsidDel="00000000" w:rsidP="00000000" w:rsidRDefault="00000000" w:rsidRPr="00000000" w14:paraId="000000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5" w:line="300" w:lineRule="auto"/>
        <w:ind w:left="300" w:right="300" w:firstLine="0"/>
        <w:rPr>
          <w:rFonts w:ascii="Arial" w:cs="Arial" w:eastAsia="Arial" w:hAnsi="Arial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Rotas da API Web:</w:t>
      </w:r>
    </w:p>
    <w:tbl>
      <w:tblPr>
        <w:tblStyle w:val="Table2"/>
        <w:tblW w:w="8760.0" w:type="dxa"/>
        <w:jc w:val="left"/>
        <w:tblInd w:w="300.0" w:type="dxa"/>
        <w:tblBorders>
          <w:top w:color="dddddd" w:space="0" w:sz="6" w:val="single"/>
          <w:left w:color="dddddd" w:space="0" w:sz="6" w:val="single"/>
          <w:bottom w:color="dddddd" w:space="0" w:sz="6" w:val="single"/>
          <w:right w:color="dddddd" w:space="0" w:sz="6" w:val="single"/>
          <w:insideH w:color="dddddd" w:space="0" w:sz="6" w:val="single"/>
          <w:insideV w:color="dddddd" w:space="0" w:sz="6" w:val="single"/>
        </w:tblBorders>
        <w:tblLayout w:type="fixed"/>
        <w:tblLook w:val="0600"/>
      </w:tblPr>
      <w:tblGrid>
        <w:gridCol w:w="2920"/>
        <w:gridCol w:w="2920"/>
        <w:gridCol w:w="2920"/>
        <w:tblGridChange w:id="0">
          <w:tblGrid>
            <w:gridCol w:w="2920"/>
            <w:gridCol w:w="2920"/>
            <w:gridCol w:w="292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shd w:fill="auto" w:val="clear"/>
                <w:rtl w:val="0"/>
              </w:rPr>
              <w:t xml:space="preserve">Rota</w:t>
            </w:r>
          </w:p>
        </w:tc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shd w:fill="auto" w:val="clear"/>
                <w:rtl w:val="0"/>
              </w:rPr>
              <w:t xml:space="preserve">Método</w:t>
            </w:r>
          </w:p>
        </w:tc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shd w:fill="auto" w:val="clear"/>
                <w:rtl w:val="0"/>
              </w:rPr>
              <w:t xml:space="preserve">Descrição</w:t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00" w:right="30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`/`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Página principal com relógio interativo</w:t>
            </w:r>
          </w:p>
        </w:tc>
      </w:tr>
      <w:tr>
        <w:trPr>
          <w:cantSplit w:val="0"/>
          <w:tblHeader w:val="0"/>
        </w:trPr>
        <w:tc>
          <w:tcPr>
            <w:shd w:fill="fafa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`/api/simbolos`</w:t>
            </w:r>
          </w:p>
        </w:tc>
        <w:tc>
          <w:tcPr>
            <w:shd w:fill="fafa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GET</w:t>
            </w:r>
          </w:p>
        </w:tc>
        <w:tc>
          <w:tcPr>
            <w:shd w:fill="fafa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Retorna todos os símbolos da placa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`/api/validar?p1=X&amp;p2=Y`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Valida combinação de ponteiros</w:t>
            </w:r>
          </w:p>
        </w:tc>
      </w:tr>
      <w:tr>
        <w:trPr>
          <w:cantSplit w:val="0"/>
          <w:tblHeader w:val="0"/>
        </w:trPr>
        <w:tc>
          <w:tcPr>
            <w:shd w:fill="fafa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`/api/combinacoes`</w:t>
            </w:r>
          </w:p>
        </w:tc>
        <w:tc>
          <w:tcPr>
            <w:shd w:fill="fafa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GET</w:t>
            </w:r>
          </w:p>
        </w:tc>
        <w:tc>
          <w:tcPr>
            <w:shd w:fill="fafa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Retorna todas as combinações válidas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`/api/falar?texto=X`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Gera áudio MP3 via gTTS</w:t>
            </w:r>
          </w:p>
        </w:tc>
      </w:tr>
      <w:tr>
        <w:trPr>
          <w:cantSplit w:val="0"/>
          <w:tblHeader w:val="0"/>
        </w:trPr>
        <w:tc>
          <w:tcPr>
            <w:shd w:fill="fafa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`/api/traduzir-libras?texto=X`</w:t>
            </w:r>
          </w:p>
        </w:tc>
        <w:tc>
          <w:tcPr>
            <w:shd w:fill="fafa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GET</w:t>
            </w:r>
          </w:p>
        </w:tc>
        <w:tc>
          <w:tcPr>
            <w:shd w:fill="fafa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Traduz para Libras via API VLibras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`/api/pictogramas`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Busca pictogramas ARASAAC para todos os símbolos</w:t>
            </w:r>
          </w:p>
        </w:tc>
      </w:tr>
    </w:tbl>
    <w:p w:rsidR="00000000" w:rsidDel="00000000" w:rsidP="00000000" w:rsidRDefault="00000000" w:rsidRPr="00000000" w14:paraId="0000007E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5" w:line="300" w:lineRule="auto"/>
        <w:ind w:left="300" w:right="300" w:firstLine="0"/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3.6 Integração com VLibras</w:t>
      </w:r>
    </w:p>
    <w:p w:rsidR="00000000" w:rsidDel="00000000" w:rsidP="00000000" w:rsidRDefault="00000000" w:rsidRPr="00000000" w14:paraId="000000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="300" w:lineRule="auto"/>
        <w:ind w:left="300" w:right="300" w:firstLine="708.6614173228347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O VLibras Widget foi integrado à interface web para fornecer tradução em Libras com avatar animado. O widget permite que o usuário clique no ícone flutuante e depois na mensagem para ver o avatar assinando em Libras.</w:t>
      </w:r>
    </w:p>
    <w:p w:rsidR="00000000" w:rsidDel="00000000" w:rsidP="00000000" w:rsidRDefault="00000000" w:rsidRPr="00000000" w14:paraId="00000080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5" w:before="0" w:line="300" w:lineRule="auto"/>
        <w:ind w:left="300" w:right="300" w:firstLine="0"/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3.7 Síntese de Voz</w:t>
      </w:r>
    </w:p>
    <w:p w:rsidR="00000000" w:rsidDel="00000000" w:rsidP="00000000" w:rsidRDefault="00000000" w:rsidRPr="00000000" w14:paraId="000000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="300" w:lineRule="auto"/>
        <w:ind w:left="300" w:right="300" w:firstLine="708.6614173228347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O sistema de síntese de voz prioriza o gTTS (Google Text-to-Speech) por sua qualidade natural, com fallback para pyttsx3 quando offline. A interface web também utiliza a Web Speech API do navegador como primeira opção.</w:t>
      </w:r>
    </w:p>
    <w:p w:rsidR="00000000" w:rsidDel="00000000" w:rsidP="00000000" w:rsidRDefault="00000000" w:rsidRPr="00000000" w14:paraId="0000008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5" w:before="0" w:line="300" w:lineRule="auto"/>
        <w:ind w:left="300" w:right="300" w:firstLine="0"/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3.8 Integração com ARASAAC (Pictogramas)</w:t>
      </w:r>
    </w:p>
    <w:p w:rsidR="00000000" w:rsidDel="00000000" w:rsidP="00000000" w:rsidRDefault="00000000" w:rsidRPr="00000000" w14:paraId="0000008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300" w:lineRule="auto"/>
        <w:ind w:left="300" w:right="300" w:firstLine="708.6614173228347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O ARASAAC é uma coleção gratuita de pictogramas licenciada sob Creative Commons BY-NC-SA, amplamente utilizada em recursos de CAA (ARASAAC, s.d.). A integração permite alternar entre o modo texto e pictogramas na interface web.</w:t>
      </w:r>
    </w:p>
    <w:p w:rsidR="00000000" w:rsidDel="00000000" w:rsidP="00000000" w:rsidRDefault="00000000" w:rsidRPr="00000000" w14:paraId="000000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300" w:lineRule="auto"/>
        <w:ind w:left="300" w:right="300" w:firstLine="708.6614173228347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Arquitetura da integração: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O Flask funciona como proxy entre o navegador e a API ARASAAC, resolvendo problemas de CORS e permitindo cache centralizado. No carregamento da página, o JavaScript solicita os pictogramas via `/api/pictogramas` e pré-carrega as imagens para uso posterior.</w:t>
      </w:r>
    </w:p>
    <w:p w:rsidR="00000000" w:rsidDel="00000000" w:rsidP="00000000" w:rsidRDefault="00000000" w:rsidRPr="00000000" w14:paraId="000000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5" w:line="300" w:lineRule="auto"/>
        <w:ind w:left="300" w:right="300" w:firstLine="0"/>
        <w:rPr>
          <w:rFonts w:ascii="Arial" w:cs="Arial" w:eastAsia="Arial" w:hAnsi="Arial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Mapeamento dos 16 símbolos:</w:t>
      </w:r>
    </w:p>
    <w:tbl>
      <w:tblPr>
        <w:tblStyle w:val="Table3"/>
        <w:tblW w:w="8760.0" w:type="dxa"/>
        <w:jc w:val="left"/>
        <w:tblInd w:w="300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12" w:val="single"/>
          <w:insideV w:color="000000" w:space="0" w:sz="12" w:val="single"/>
        </w:tblBorders>
        <w:tblLayout w:type="fixed"/>
        <w:tblLook w:val="0600"/>
      </w:tblPr>
      <w:tblGrid>
        <w:gridCol w:w="2190"/>
        <w:gridCol w:w="2190"/>
        <w:gridCol w:w="2190"/>
        <w:gridCol w:w="2190"/>
        <w:tblGridChange w:id="0">
          <w:tblGrid>
            <w:gridCol w:w="2190"/>
            <w:gridCol w:w="2190"/>
            <w:gridCol w:w="2190"/>
            <w:gridCol w:w="219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shd w:fill="auto" w:val="clear"/>
                <w:rtl w:val="0"/>
              </w:rPr>
              <w:t xml:space="preserve">Símbolo</w:t>
            </w:r>
          </w:p>
        </w:tc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shd w:fill="auto" w:val="clear"/>
                <w:rtl w:val="0"/>
              </w:rPr>
              <w:t xml:space="preserve">Termo (ES)</w:t>
            </w:r>
          </w:p>
        </w:tc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shd w:fill="auto" w:val="clear"/>
                <w:rtl w:val="0"/>
              </w:rPr>
              <w:t xml:space="preserve">ID ARASAAC</w:t>
            </w:r>
          </w:p>
        </w:tc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shd w:fill="auto" w:val="clear"/>
                <w:rtl w:val="0"/>
              </w:rPr>
              <w:t xml:space="preserve">Descrição Visual</w:t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00" w:right="30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EU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yo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6632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Figura apontando para si mesma</w:t>
            </w:r>
          </w:p>
        </w:tc>
      </w:tr>
      <w:tr>
        <w:trPr>
          <w:cantSplit w:val="0"/>
          <w:tblHeader w:val="0"/>
        </w:trPr>
        <w:tc>
          <w:tcPr>
            <w:shd w:fill="fafafa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VOCÊ</w:t>
            </w:r>
          </w:p>
        </w:tc>
        <w:tc>
          <w:tcPr>
            <w:shd w:fill="fafafa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tú</w:t>
            </w:r>
          </w:p>
        </w:tc>
        <w:tc>
          <w:tcPr>
            <w:shd w:fill="fafafa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6625</w:t>
            </w:r>
          </w:p>
        </w:tc>
        <w:tc>
          <w:tcPr>
            <w:shd w:fill="fafafa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Figura apontando para outra pessoa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SIM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sí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5584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Sinal de confirmação</w:t>
            </w:r>
          </w:p>
        </w:tc>
      </w:tr>
      <w:tr>
        <w:trPr>
          <w:cantSplit w:val="0"/>
          <w:tblHeader w:val="0"/>
        </w:trPr>
        <w:tc>
          <w:tcPr>
            <w:shd w:fill="fafafa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NÃO</w:t>
            </w:r>
          </w:p>
        </w:tc>
        <w:tc>
          <w:tcPr>
            <w:shd w:fill="fafafa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no</w:t>
            </w:r>
          </w:p>
        </w:tc>
        <w:tc>
          <w:tcPr>
            <w:shd w:fill="fafafa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5526</w:t>
            </w:r>
          </w:p>
        </w:tc>
        <w:tc>
          <w:tcPr>
            <w:shd w:fill="fafafa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Sinal de negação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QUERO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querer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5441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Mão segurando coração</w:t>
            </w:r>
          </w:p>
        </w:tc>
      </w:tr>
      <w:tr>
        <w:trPr>
          <w:cantSplit w:val="0"/>
          <w:tblHeader w:val="0"/>
        </w:trPr>
        <w:tc>
          <w:tcPr>
            <w:shd w:fill="fafafa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PRECISO</w:t>
            </w:r>
          </w:p>
        </w:tc>
        <w:tc>
          <w:tcPr>
            <w:shd w:fill="fafafa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necesitar</w:t>
            </w:r>
          </w:p>
        </w:tc>
        <w:tc>
          <w:tcPr>
            <w:shd w:fill="fafafa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37160</w:t>
            </w:r>
          </w:p>
        </w:tc>
        <w:tc>
          <w:tcPr>
            <w:shd w:fill="fafafa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Figura com expressão de necessidade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COMER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comer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6456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Pessoa comendo</w:t>
            </w:r>
          </w:p>
        </w:tc>
      </w:tr>
      <w:tr>
        <w:trPr>
          <w:cantSplit w:val="0"/>
          <w:tblHeader w:val="0"/>
        </w:trPr>
        <w:tc>
          <w:tcPr>
            <w:shd w:fill="fafafa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BEBER</w:t>
            </w:r>
          </w:p>
        </w:tc>
        <w:tc>
          <w:tcPr>
            <w:shd w:fill="fafafa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beber</w:t>
            </w:r>
          </w:p>
        </w:tc>
        <w:tc>
          <w:tcPr>
            <w:shd w:fill="fafafa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6061</w:t>
            </w:r>
          </w:p>
        </w:tc>
        <w:tc>
          <w:tcPr>
            <w:shd w:fill="fafafa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Pessoa bebendo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ÁGUA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agua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32464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Copo d'água</w:t>
            </w:r>
          </w:p>
        </w:tc>
      </w:tr>
      <w:tr>
        <w:trPr>
          <w:cantSplit w:val="0"/>
          <w:tblHeader w:val="0"/>
        </w:trPr>
        <w:tc>
          <w:tcPr>
            <w:shd w:fill="fafafa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COMIDA</w:t>
            </w:r>
          </w:p>
        </w:tc>
        <w:tc>
          <w:tcPr>
            <w:shd w:fill="fafafa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comida</w:t>
            </w:r>
          </w:p>
        </w:tc>
        <w:tc>
          <w:tcPr>
            <w:shd w:fill="fafafa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4610</w:t>
            </w:r>
          </w:p>
        </w:tc>
        <w:tc>
          <w:tcPr>
            <w:shd w:fill="fafafa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Prato com comida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BANHEIRO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baño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6929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Símbolo de banheiro</w:t>
            </w:r>
          </w:p>
        </w:tc>
      </w:tr>
      <w:tr>
        <w:trPr>
          <w:cantSplit w:val="0"/>
          <w:tblHeader w:val="0"/>
        </w:trPr>
        <w:tc>
          <w:tcPr>
            <w:shd w:fill="fafafa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SAIR</w:t>
            </w:r>
          </w:p>
        </w:tc>
        <w:tc>
          <w:tcPr>
            <w:shd w:fill="fafafa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salir</w:t>
            </w:r>
          </w:p>
        </w:tc>
        <w:tc>
          <w:tcPr>
            <w:shd w:fill="fafafa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2806</w:t>
            </w:r>
          </w:p>
        </w:tc>
        <w:tc>
          <w:tcPr>
            <w:shd w:fill="fafafa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Pessoa saindo por porta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FELIZ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feliz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9907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Rosto feliz</w:t>
            </w:r>
          </w:p>
        </w:tc>
      </w:tr>
      <w:tr>
        <w:trPr>
          <w:cantSplit w:val="0"/>
          <w:tblHeader w:val="0"/>
        </w:trPr>
        <w:tc>
          <w:tcPr>
            <w:shd w:fill="fafafa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TRISTE</w:t>
            </w:r>
          </w:p>
        </w:tc>
        <w:tc>
          <w:tcPr>
            <w:shd w:fill="fafafa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triste</w:t>
            </w:r>
          </w:p>
        </w:tc>
        <w:tc>
          <w:tcPr>
            <w:shd w:fill="fafafa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35545</w:t>
            </w:r>
          </w:p>
        </w:tc>
        <w:tc>
          <w:tcPr>
            <w:shd w:fill="fafafa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Rosto triste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DOR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dolor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2367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Figura indicando dor</w:t>
            </w:r>
          </w:p>
        </w:tc>
      </w:tr>
      <w:tr>
        <w:trPr>
          <w:cantSplit w:val="0"/>
          <w:tblHeader w:val="0"/>
        </w:trPr>
        <w:tc>
          <w:tcPr>
            <w:shd w:fill="fafafa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AJUDA</w:t>
            </w:r>
          </w:p>
        </w:tc>
        <w:tc>
          <w:tcPr>
            <w:shd w:fill="fafafa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ayuda</w:t>
            </w:r>
          </w:p>
        </w:tc>
        <w:tc>
          <w:tcPr>
            <w:shd w:fill="fafafa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12252</w:t>
            </w:r>
          </w:p>
        </w:tc>
        <w:tc>
          <w:tcPr>
            <w:shd w:fill="fafafa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90" w:before="9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Mãos de apoio</w:t>
            </w:r>
          </w:p>
        </w:tc>
      </w:tr>
    </w:tbl>
    <w:p w:rsidR="00000000" w:rsidDel="00000000" w:rsidP="00000000" w:rsidRDefault="00000000" w:rsidRPr="00000000" w14:paraId="000000C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before="225" w:line="300" w:lineRule="auto"/>
        <w:ind w:left="300" w:right="300" w:firstLine="708.6614173228347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Quando o modo pictograma está ativo, os símbolos no relógio são substituídos pelas imagens ARASAAC. A imagem é desenhada circularmente (com `clip()`) e, ao ser clicada, exibe o nome do símbolo abaixo.</w:t>
      </w:r>
    </w:p>
    <w:p w:rsidR="00000000" w:rsidDel="00000000" w:rsidP="00000000" w:rsidRDefault="00000000" w:rsidRPr="00000000" w14:paraId="000000CC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5" w:before="0" w:line="300" w:lineRule="auto"/>
        <w:ind w:left="300" w:right="300" w:firstLine="0"/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3.9 Placa Física</w:t>
      </w:r>
    </w:p>
    <w:p w:rsidR="00000000" w:rsidDel="00000000" w:rsidP="00000000" w:rsidRDefault="00000000" w:rsidRPr="00000000" w14:paraId="000000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0" w:line="300" w:lineRule="auto"/>
        <w:ind w:left="300" w:right="300" w:firstLine="708.6614173228347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A versão física utiliza uma base circular de MDF ou acrílico (30cm diâmetro), ponteiros giratórios fixados no centro, símbolos impressos em vinil adesivo colorido e corte a laser para precisão.</w:t>
      </w:r>
    </w:p>
    <w:p w:rsidR="00000000" w:rsidDel="00000000" w:rsidP="00000000" w:rsidRDefault="00000000" w:rsidRPr="00000000" w14:paraId="000000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0" w:line="300" w:lineRule="auto"/>
        <w:ind w:left="300" w:right="300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before="300" w:line="300" w:lineRule="auto"/>
        <w:ind w:left="300" w:right="300" w:firstLine="0"/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4. RESULTADOS</w:t>
      </w:r>
    </w:p>
    <w:p w:rsidR="00000000" w:rsidDel="00000000" w:rsidP="00000000" w:rsidRDefault="00000000" w:rsidRPr="00000000" w14:paraId="000000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300" w:lineRule="auto"/>
        <w:ind w:left="300" w:right="300" w:firstLine="708.6614173228347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O scanner e o parser foram validados com sucesso. O scanner normaliza o texto (converte para minúsculas, remove acentos) e verifica se todos os caracteres são tokens válidos. O parser foi testado com 14 frases válidas e 6 frases inválidas. Todas as frases válidas foram aceitas corretamente, e todas as frases inválidas geraram erros de sintaxe apropriados.</w:t>
      </w:r>
    </w:p>
    <w:p w:rsidR="00000000" w:rsidDel="00000000" w:rsidP="00000000" w:rsidRDefault="00000000" w:rsidRPr="00000000" w14:paraId="000000D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5" w:line="300" w:lineRule="auto"/>
        <w:ind w:left="300" w:right="300" w:firstLine="0"/>
        <w:rPr>
          <w:rFonts w:ascii="Arial" w:cs="Arial" w:eastAsia="Arial" w:hAnsi="Arial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Tabela 2 — Exemplos de combinações válidas</w:t>
      </w:r>
    </w:p>
    <w:tbl>
      <w:tblPr>
        <w:tblStyle w:val="Table4"/>
        <w:tblW w:w="8760.0" w:type="dxa"/>
        <w:jc w:val="left"/>
        <w:tblInd w:w="300.0" w:type="dxa"/>
        <w:tblBorders>
          <w:top w:color="dddddd" w:space="0" w:sz="6" w:val="single"/>
          <w:left w:color="dddddd" w:space="0" w:sz="6" w:val="single"/>
          <w:bottom w:color="dddddd" w:space="0" w:sz="6" w:val="single"/>
          <w:right w:color="dddddd" w:space="0" w:sz="6" w:val="single"/>
          <w:insideH w:color="dddddd" w:space="0" w:sz="6" w:val="single"/>
          <w:insideV w:color="dddddd" w:space="0" w:sz="6" w:val="single"/>
        </w:tblBorders>
        <w:tblLayout w:type="fixed"/>
        <w:tblLook w:val="0600"/>
      </w:tblPr>
      <w:tblGrid>
        <w:gridCol w:w="2920"/>
        <w:gridCol w:w="2920"/>
        <w:gridCol w:w="2920"/>
        <w:tblGridChange w:id="0">
          <w:tblGrid>
            <w:gridCol w:w="2920"/>
            <w:gridCol w:w="2920"/>
            <w:gridCol w:w="292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shd w:fill="auto" w:val="clear"/>
                <w:rtl w:val="0"/>
              </w:rPr>
              <w:t xml:space="preserve">Categoria</w:t>
            </w:r>
          </w:p>
        </w:tc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shd w:fill="auto" w:val="clear"/>
                <w:rtl w:val="0"/>
              </w:rPr>
              <w:t xml:space="preserve">Combinação</w:t>
            </w:r>
          </w:p>
        </w:tc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shd w:fill="auto" w:val="clear"/>
                <w:rtl w:val="0"/>
              </w:rPr>
              <w:t xml:space="preserve">Resultado / Significado</w:t>
            </w:r>
          </w:p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00" w:right="300" w:firstLine="0"/>
              <w:jc w:val="left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Sujeito + Verbo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EU + QUERO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Eu quero</w:t>
            </w:r>
          </w:p>
        </w:tc>
      </w:tr>
      <w:tr>
        <w:trPr>
          <w:cantSplit w:val="0"/>
          <w:tblHeader w:val="0"/>
        </w:trPr>
        <w:tc>
          <w:tcPr>
            <w:shd w:fill="fafa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Sujeito + Objeto</w:t>
            </w:r>
          </w:p>
        </w:tc>
        <w:tc>
          <w:tcPr>
            <w:shd w:fill="fafa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EU + ÁGUA</w:t>
            </w:r>
          </w:p>
        </w:tc>
        <w:tc>
          <w:tcPr>
            <w:shd w:fill="fafa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Eu água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Sujeito + Emoção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EU + FELIZ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Eu feliz</w:t>
            </w:r>
          </w:p>
        </w:tc>
      </w:tr>
      <w:tr>
        <w:trPr>
          <w:cantSplit w:val="0"/>
          <w:tblHeader w:val="0"/>
        </w:trPr>
        <w:tc>
          <w:tcPr>
            <w:shd w:fill="fafa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Verbo + Objeto</w:t>
            </w:r>
          </w:p>
        </w:tc>
        <w:tc>
          <w:tcPr>
            <w:shd w:fill="fafa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QUERO + ÁGUA</w:t>
            </w:r>
          </w:p>
        </w:tc>
        <w:tc>
          <w:tcPr>
            <w:shd w:fill="fafafa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shd w:fill="auto" w:val="clear"/>
                <w:rtl w:val="0"/>
              </w:rPr>
              <w:t xml:space="preserve">Quero água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Ajuda + Necessidade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AJUDA + BANHEIRO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Ajuda banheiro</w:t>
            </w:r>
          </w:p>
        </w:tc>
      </w:tr>
    </w:tbl>
    <w:p w:rsidR="00000000" w:rsidDel="00000000" w:rsidP="00000000" w:rsidRDefault="00000000" w:rsidRPr="00000000" w14:paraId="000000E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0" w:before="225" w:line="300" w:lineRule="auto"/>
        <w:ind w:left="300" w:right="300" w:firstLine="0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before="300" w:line="300" w:lineRule="auto"/>
        <w:ind w:left="300" w:right="300" w:firstLine="0"/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5. CONSIDERAÇÕES SOBRE ACESSIBILIDADE</w:t>
      </w:r>
    </w:p>
    <w:p w:rsidR="00000000" w:rsidDel="00000000" w:rsidP="00000000" w:rsidRDefault="00000000" w:rsidRPr="00000000" w14:paraId="000000E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0" w:line="300" w:lineRule="auto"/>
        <w:ind w:left="300" w:right="300" w:firstLine="708.6614173228347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O projeto observa as diretrizes de acessibilidade WCAG 2.2 (W3C, 2023) quanto ao contraste de cores, eMAG v3.1 (BRASIL, 2024) para os padrões digitais, além do cumprimento da Lei 13.146/2015. A inclusão do VLibras Widget e do ecossistema ARASAAC expandem o alcance comunicativo para múltiplos perfis de usuários com necessidades complexas.</w:t>
      </w:r>
    </w:p>
    <w:p w:rsidR="00000000" w:rsidDel="00000000" w:rsidP="00000000" w:rsidRDefault="00000000" w:rsidRPr="00000000" w14:paraId="000000E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0" w:line="300" w:lineRule="auto"/>
        <w:ind w:left="300" w:right="300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before="300" w:line="300" w:lineRule="auto"/>
        <w:ind w:left="300" w:right="300" w:firstLine="0"/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6. CONCLUSÃO</w:t>
      </w:r>
    </w:p>
    <w:p w:rsidR="00000000" w:rsidDel="00000000" w:rsidP="00000000" w:rsidRDefault="00000000" w:rsidRPr="00000000" w14:paraId="000000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0" w:line="300" w:lineRule="auto"/>
        <w:ind w:left="300" w:right="300" w:firstLine="708.6614173228347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O projeto "Relógio da Fala" demonstra a viabilidade de utilizar conceitos de Engenharia de Linguagens (gramáticas formais, análise léxica e sintática) para criar ferramentas de Comunicação Alternativa e Aumentativa. A abordagem formal permite validação automática, extensão facilitada, portabilidade e acessibilidade múltipla.</w:t>
      </w:r>
    </w:p>
    <w:p w:rsidR="00000000" w:rsidDel="00000000" w:rsidP="00000000" w:rsidRDefault="00000000" w:rsidRPr="00000000" w14:paraId="000000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0" w:line="300" w:lineRule="auto"/>
        <w:ind w:left="300" w:right="300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before="300" w:line="300" w:lineRule="auto"/>
        <w:ind w:left="300" w:right="300" w:firstLine="0"/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7. REFERÊNCIAS</w:t>
      </w:r>
    </w:p>
    <w:p w:rsidR="00000000" w:rsidDel="00000000" w:rsidP="00000000" w:rsidRDefault="00000000" w:rsidRPr="00000000" w14:paraId="000000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300" w:lineRule="auto"/>
        <w:ind w:left="1008.6614173228347" w:right="300" w:firstLine="0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ARASAAC.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Pictogramas: Comunicação Aumentativa e Alternativa.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s.d. Disponível em: https://arasaac.org/. Acesso em: 08 jul. 2026.</w:t>
      </w:r>
    </w:p>
    <w:p w:rsidR="00000000" w:rsidDel="00000000" w:rsidP="00000000" w:rsidRDefault="00000000" w:rsidRPr="00000000" w14:paraId="000000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300" w:lineRule="auto"/>
        <w:ind w:left="1008.6614173228347" w:right="300" w:firstLine="0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BRASIL.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Lei nº 13.146, de 6 de julho de 2015.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Institui a Lei Brasileira de Inclusão della Pessoa com Deficiência. Planalto. Disponível em: https://www.planalto.gov.br/ccivil_03/_ato2015-2018/2015/lei/l13146.htm. Acesso em: 08 jul. 2026.</w:t>
      </w:r>
    </w:p>
    <w:p w:rsidR="00000000" w:rsidDel="00000000" w:rsidP="00000000" w:rsidRDefault="00000000" w:rsidRPr="00000000" w14:paraId="000000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300" w:lineRule="auto"/>
        <w:ind w:left="1008.6614173228347" w:right="300" w:firstLine="0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BRASIL.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Modelo de Acessibilidade em Governo Digital (eMAG) v3.1.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Brasília, 2024. Disponível em: https://www.gov.br/governodigital/pt-br/acessibilidade-e-usuario/acessibilidade-digital/eMAGv31.pdf. Acesso em: 08 jul. 2026.</w:t>
      </w:r>
    </w:p>
    <w:p w:rsidR="00000000" w:rsidDel="00000000" w:rsidP="00000000" w:rsidRDefault="00000000" w:rsidRPr="00000000" w14:paraId="000000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300" w:lineRule="auto"/>
        <w:ind w:left="1008.6614173228347" w:right="300" w:firstLine="0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BEUKELMAN, David R.; LIGHT, Janice C.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Augmentative &amp; Alternative Communication: Supporting Children and Adults with Complex Communication Needs.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5. ed. Baltimore: Paul H. Brookes Publishing Co., 2020.</w:t>
      </w:r>
    </w:p>
    <w:p w:rsidR="00000000" w:rsidDel="00000000" w:rsidP="00000000" w:rsidRDefault="00000000" w:rsidRPr="00000000" w14:paraId="000000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300" w:lineRule="auto"/>
        <w:ind w:left="1008.6614173228347" w:right="300" w:firstLine="0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FLASK.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Flask: Web Development with Python.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s.d. Disponível em: https://flask.palletsprojects.com/. Acesso em: 08 jul. 2026.</w:t>
      </w:r>
    </w:p>
    <w:p w:rsidR="00000000" w:rsidDel="00000000" w:rsidP="00000000" w:rsidRDefault="00000000" w:rsidRPr="00000000" w14:paraId="000000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300" w:lineRule="auto"/>
        <w:ind w:left="1008.6614173228347" w:right="300" w:firstLine="0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GENIALCARE.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CAA e autismo: Comunicação Aumentativa e Alternativa.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2025. Disponível em: https://genialcare.com.br/blog/caa-e-autismo/. Acesso em: 08 jul. 2026.</w:t>
      </w:r>
    </w:p>
    <w:p w:rsidR="00000000" w:rsidDel="00000000" w:rsidP="00000000" w:rsidRDefault="00000000" w:rsidRPr="00000000" w14:paraId="000000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300" w:lineRule="auto"/>
        <w:ind w:left="1008.6614173228347" w:right="300" w:firstLine="0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W3C.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Web Content Accessibility Guidelines (WCAG) 2.2.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W3C Recommendation, 5 out. 2023. Disponível em: https://www.w3.org/TR/WCAG22/. Acesso em: 08 jul. 2026.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