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2024-06-26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