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BB8F" w14:textId="63B47117" w:rsidR="00A63664" w:rsidRPr="00A63664" w:rsidRDefault="00A63664" w:rsidP="00A63664">
      <w:pPr>
        <w:spacing w:after="0" w:line="360" w:lineRule="auto"/>
        <w:jc w:val="center"/>
        <w:rPr>
          <w:rFonts w:ascii="Arial" w:hAnsi="Arial" w:cs="Arial"/>
          <w:b/>
          <w:bCs/>
          <w:sz w:val="24"/>
          <w:szCs w:val="24"/>
        </w:rPr>
      </w:pPr>
      <w:r w:rsidRPr="00A63664">
        <w:rPr>
          <w:rFonts w:ascii="Arial" w:hAnsi="Arial" w:cs="Arial"/>
          <w:b/>
          <w:bCs/>
          <w:sz w:val="24"/>
          <w:szCs w:val="24"/>
        </w:rPr>
        <w:t>Quadro 2</w:t>
      </w:r>
      <w:r>
        <w:rPr>
          <w:rFonts w:ascii="Arial" w:hAnsi="Arial" w:cs="Arial"/>
          <w:b/>
          <w:bCs/>
          <w:sz w:val="24"/>
          <w:szCs w:val="24"/>
        </w:rPr>
        <w:t xml:space="preserve"> -</w:t>
      </w:r>
      <w:r w:rsidRPr="00A63664">
        <w:rPr>
          <w:rFonts w:ascii="Arial" w:hAnsi="Arial" w:cs="Arial"/>
          <w:b/>
          <w:bCs/>
          <w:sz w:val="24"/>
          <w:szCs w:val="24"/>
        </w:rPr>
        <w:t xml:space="preserve"> Exemplo de ficha</w:t>
      </w:r>
    </w:p>
    <w:tbl>
      <w:tblPr>
        <w:tblStyle w:val="Tabelacomgrade"/>
        <w:tblW w:w="14596" w:type="dxa"/>
        <w:tblLayout w:type="fixed"/>
        <w:tblLook w:val="04A0" w:firstRow="1" w:lastRow="0" w:firstColumn="1" w:lastColumn="0" w:noHBand="0" w:noVBand="1"/>
      </w:tblPr>
      <w:tblGrid>
        <w:gridCol w:w="2263"/>
        <w:gridCol w:w="6237"/>
        <w:gridCol w:w="6096"/>
      </w:tblGrid>
      <w:tr w:rsidR="00A63664" w:rsidRPr="00A63664" w14:paraId="0BEA0D08" w14:textId="77777777" w:rsidTr="00E46990">
        <w:tc>
          <w:tcPr>
            <w:tcW w:w="2263" w:type="dxa"/>
          </w:tcPr>
          <w:p w14:paraId="03C244CE"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Nome da política</w:t>
            </w:r>
          </w:p>
        </w:tc>
        <w:tc>
          <w:tcPr>
            <w:tcW w:w="12333" w:type="dxa"/>
            <w:gridSpan w:val="2"/>
          </w:tcPr>
          <w:p w14:paraId="4ED63CDF"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Política Nacional de Saúde Integral da População Negra</w:t>
            </w:r>
          </w:p>
        </w:tc>
      </w:tr>
      <w:tr w:rsidR="00A63664" w:rsidRPr="00A63664" w14:paraId="6263E584" w14:textId="77777777" w:rsidTr="00E46990">
        <w:tc>
          <w:tcPr>
            <w:tcW w:w="2263" w:type="dxa"/>
          </w:tcPr>
          <w:p w14:paraId="2D02B377"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Pontuação da matriz GUT</w:t>
            </w:r>
          </w:p>
        </w:tc>
        <w:tc>
          <w:tcPr>
            <w:tcW w:w="12333" w:type="dxa"/>
            <w:gridSpan w:val="2"/>
          </w:tcPr>
          <w:p w14:paraId="5BABA19D"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15</w:t>
            </w:r>
          </w:p>
        </w:tc>
      </w:tr>
      <w:tr w:rsidR="00A63664" w:rsidRPr="00A63664" w14:paraId="72376235" w14:textId="77777777" w:rsidTr="00E46990">
        <w:tc>
          <w:tcPr>
            <w:tcW w:w="2263" w:type="dxa"/>
          </w:tcPr>
          <w:p w14:paraId="2D68DEDB"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Link</w:t>
            </w:r>
          </w:p>
        </w:tc>
        <w:tc>
          <w:tcPr>
            <w:tcW w:w="12333" w:type="dxa"/>
            <w:gridSpan w:val="2"/>
          </w:tcPr>
          <w:p w14:paraId="2B3A5299" w14:textId="77777777" w:rsidR="00A63664" w:rsidRPr="00A63664" w:rsidRDefault="00A63664" w:rsidP="00A63664">
            <w:pPr>
              <w:rPr>
                <w:rFonts w:ascii="Arial" w:hAnsi="Arial" w:cs="Arial"/>
                <w:i/>
                <w:iCs/>
                <w:sz w:val="22"/>
                <w:szCs w:val="22"/>
              </w:rPr>
            </w:pPr>
            <w:hyperlink r:id="rId5" w:history="1">
              <w:r w:rsidRPr="00A63664">
                <w:rPr>
                  <w:rStyle w:val="Hyperlink"/>
                  <w:rFonts w:ascii="Arial" w:hAnsi="Arial" w:cs="Arial"/>
                  <w:i/>
                  <w:iCs/>
                  <w:sz w:val="22"/>
                  <w:szCs w:val="22"/>
                </w:rPr>
                <w:t>https://bvsms.saude.gov.br/bvs/publicacoes/politica_nacional_saude_populacao_negra_3d.pdf</w:t>
              </w:r>
            </w:hyperlink>
            <w:r w:rsidRPr="00A63664">
              <w:rPr>
                <w:rFonts w:ascii="Arial" w:hAnsi="Arial" w:cs="Arial"/>
                <w:i/>
                <w:iCs/>
                <w:sz w:val="22"/>
                <w:szCs w:val="22"/>
              </w:rPr>
              <w:t xml:space="preserve"> </w:t>
            </w:r>
          </w:p>
          <w:p w14:paraId="777F85A7" w14:textId="77777777" w:rsidR="00A63664" w:rsidRPr="00A63664" w:rsidRDefault="00A63664" w:rsidP="00A63664">
            <w:pPr>
              <w:rPr>
                <w:rFonts w:ascii="Arial" w:hAnsi="Arial" w:cs="Arial"/>
                <w:i/>
                <w:iCs/>
                <w:sz w:val="22"/>
                <w:szCs w:val="22"/>
              </w:rPr>
            </w:pPr>
          </w:p>
        </w:tc>
      </w:tr>
      <w:tr w:rsidR="00A63664" w:rsidRPr="00A63664" w14:paraId="7B8497C5" w14:textId="77777777" w:rsidTr="00E46990">
        <w:tc>
          <w:tcPr>
            <w:tcW w:w="2263" w:type="dxa"/>
          </w:tcPr>
          <w:p w14:paraId="51BF85E9"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Públicos-alvo</w:t>
            </w:r>
          </w:p>
        </w:tc>
        <w:tc>
          <w:tcPr>
            <w:tcW w:w="12333" w:type="dxa"/>
            <w:gridSpan w:val="2"/>
          </w:tcPr>
          <w:p w14:paraId="3B8122D2"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População negra residente em áreas urbanas, em particular nas regiões periféricas dos grandes centros, e do campo e da floresta, em particular as populações quilombolas.</w:t>
            </w:r>
          </w:p>
          <w:p w14:paraId="6421B0B2" w14:textId="77777777" w:rsidR="00A63664" w:rsidRPr="00A63664" w:rsidRDefault="00A63664" w:rsidP="00A63664">
            <w:pPr>
              <w:rPr>
                <w:rFonts w:ascii="Arial" w:hAnsi="Arial" w:cs="Arial"/>
                <w:i/>
                <w:iCs/>
                <w:sz w:val="22"/>
                <w:szCs w:val="22"/>
              </w:rPr>
            </w:pPr>
          </w:p>
        </w:tc>
      </w:tr>
      <w:tr w:rsidR="00A63664" w:rsidRPr="00A63664" w14:paraId="26F6EB57" w14:textId="77777777" w:rsidTr="00E46990">
        <w:tc>
          <w:tcPr>
            <w:tcW w:w="2263" w:type="dxa"/>
          </w:tcPr>
          <w:p w14:paraId="28BF4B1E"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Objetivos</w:t>
            </w:r>
          </w:p>
        </w:tc>
        <w:tc>
          <w:tcPr>
            <w:tcW w:w="12333" w:type="dxa"/>
            <w:gridSpan w:val="2"/>
          </w:tcPr>
          <w:p w14:paraId="4DB17CC3"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Objetivo geral</w:t>
            </w:r>
          </w:p>
          <w:p w14:paraId="2D0C2DE4"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Promover a saúde integral da população negra, priorizando a redução das desigualdades étnico-raciais, o combate ao racismo e à discriminação nas instituições e nos serviços do SUS.</w:t>
            </w:r>
          </w:p>
          <w:p w14:paraId="474950A1" w14:textId="77777777" w:rsidR="00A63664" w:rsidRPr="00A63664" w:rsidRDefault="00A63664" w:rsidP="00A63664">
            <w:pPr>
              <w:rPr>
                <w:rFonts w:ascii="Arial" w:hAnsi="Arial" w:cs="Arial"/>
                <w:i/>
                <w:iCs/>
                <w:sz w:val="22"/>
                <w:szCs w:val="22"/>
              </w:rPr>
            </w:pPr>
          </w:p>
          <w:p w14:paraId="62A7114B"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Objetivos específicos</w:t>
            </w:r>
          </w:p>
          <w:p w14:paraId="3E4F5E29"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I – </w:t>
            </w:r>
            <w:proofErr w:type="gramStart"/>
            <w:r w:rsidRPr="00A63664">
              <w:rPr>
                <w:rFonts w:ascii="Arial" w:hAnsi="Arial" w:cs="Arial"/>
                <w:i/>
                <w:iCs/>
                <w:sz w:val="22"/>
                <w:szCs w:val="22"/>
              </w:rPr>
              <w:t>garantir e ampliar</w:t>
            </w:r>
            <w:proofErr w:type="gramEnd"/>
            <w:r w:rsidRPr="00A63664">
              <w:rPr>
                <w:rFonts w:ascii="Arial" w:hAnsi="Arial" w:cs="Arial"/>
                <w:i/>
                <w:iCs/>
                <w:sz w:val="22"/>
                <w:szCs w:val="22"/>
              </w:rPr>
              <w:t xml:space="preserve"> o acesso da população negra residente em áreas urbanas, em particular nas regiões periféricas dos grandes centros, às ações e aos serviços de saúde.</w:t>
            </w:r>
          </w:p>
          <w:p w14:paraId="05DC24AA"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II – </w:t>
            </w:r>
            <w:proofErr w:type="gramStart"/>
            <w:r w:rsidRPr="00A63664">
              <w:rPr>
                <w:rFonts w:ascii="Arial" w:hAnsi="Arial" w:cs="Arial"/>
                <w:i/>
                <w:iCs/>
                <w:sz w:val="22"/>
                <w:szCs w:val="22"/>
              </w:rPr>
              <w:t>garantir e ampliar</w:t>
            </w:r>
            <w:proofErr w:type="gramEnd"/>
            <w:r w:rsidRPr="00A63664">
              <w:rPr>
                <w:rFonts w:ascii="Arial" w:hAnsi="Arial" w:cs="Arial"/>
                <w:i/>
                <w:iCs/>
                <w:sz w:val="22"/>
                <w:szCs w:val="22"/>
              </w:rPr>
              <w:t xml:space="preserve"> o acesso da população negra do campo e da floresta, em particular as populações quilombolas, às ações e aos serviços de saúde.</w:t>
            </w:r>
          </w:p>
          <w:p w14:paraId="69773219"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III – incluir o tema combate às discriminações de gênero e orientação sexual, com destaque para as interseções com a saúde da população negra, nos processos de formação e educação permanente dos trabalhadores da saúde e no exercício do controle social.</w:t>
            </w:r>
          </w:p>
          <w:p w14:paraId="1CC9C698"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IV – </w:t>
            </w:r>
            <w:proofErr w:type="gramStart"/>
            <w:r w:rsidRPr="00A63664">
              <w:rPr>
                <w:rFonts w:ascii="Arial" w:hAnsi="Arial" w:cs="Arial"/>
                <w:i/>
                <w:iCs/>
                <w:sz w:val="22"/>
                <w:szCs w:val="22"/>
              </w:rPr>
              <w:t>identificar, combater</w:t>
            </w:r>
            <w:proofErr w:type="gramEnd"/>
            <w:r w:rsidRPr="00A63664">
              <w:rPr>
                <w:rFonts w:ascii="Arial" w:hAnsi="Arial" w:cs="Arial"/>
                <w:i/>
                <w:iCs/>
                <w:sz w:val="22"/>
                <w:szCs w:val="22"/>
              </w:rPr>
              <w:t xml:space="preserve"> e prevenir situações de abuso, exploração e violência, incluindo assédio moral, no ambiente de trabalho.</w:t>
            </w:r>
          </w:p>
          <w:p w14:paraId="03D48313"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V – </w:t>
            </w:r>
            <w:proofErr w:type="gramStart"/>
            <w:r w:rsidRPr="00A63664">
              <w:rPr>
                <w:rFonts w:ascii="Arial" w:hAnsi="Arial" w:cs="Arial"/>
                <w:i/>
                <w:iCs/>
                <w:sz w:val="22"/>
                <w:szCs w:val="22"/>
              </w:rPr>
              <w:t>aprimorar</w:t>
            </w:r>
            <w:proofErr w:type="gramEnd"/>
            <w:r w:rsidRPr="00A63664">
              <w:rPr>
                <w:rFonts w:ascii="Arial" w:hAnsi="Arial" w:cs="Arial"/>
                <w:i/>
                <w:iCs/>
                <w:sz w:val="22"/>
                <w:szCs w:val="22"/>
              </w:rPr>
              <w:t xml:space="preserve"> a qualidade dos sistemas de informação em saúde, por meio da inclusão do quesito cor em todos os instrumentos de coleta de dados adotados pelos serviços públicos, os conveniados ou contratados com o SUS.</w:t>
            </w:r>
          </w:p>
          <w:p w14:paraId="0AB518D1"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VI – </w:t>
            </w:r>
            <w:proofErr w:type="gramStart"/>
            <w:r w:rsidRPr="00A63664">
              <w:rPr>
                <w:rFonts w:ascii="Arial" w:hAnsi="Arial" w:cs="Arial"/>
                <w:i/>
                <w:iCs/>
                <w:sz w:val="22"/>
                <w:szCs w:val="22"/>
              </w:rPr>
              <w:t>melhorar</w:t>
            </w:r>
            <w:proofErr w:type="gramEnd"/>
            <w:r w:rsidRPr="00A63664">
              <w:rPr>
                <w:rFonts w:ascii="Arial" w:hAnsi="Arial" w:cs="Arial"/>
                <w:i/>
                <w:iCs/>
                <w:sz w:val="22"/>
                <w:szCs w:val="22"/>
              </w:rPr>
              <w:t xml:space="preserve"> a qualidade dos sistemas de informação do SUS no que tange a coleta, processamento e análise dos dados desagregados por raça, cor e etnia.</w:t>
            </w:r>
          </w:p>
          <w:p w14:paraId="6085C425"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VII – identificar as necessidades de saúde da população negra do campo e da floresta e das áreas urbanas e utilizá-las como critério de planejamento e definição de prioridades.</w:t>
            </w:r>
          </w:p>
          <w:p w14:paraId="06C29E74"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VIII – definir e pactuar, junto às três esferas de governo, indicadores e metas para a promoção da equidade étnico-racial na saúde.</w:t>
            </w:r>
          </w:p>
          <w:p w14:paraId="734587E7"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IX – </w:t>
            </w:r>
            <w:proofErr w:type="gramStart"/>
            <w:r w:rsidRPr="00A63664">
              <w:rPr>
                <w:rFonts w:ascii="Arial" w:hAnsi="Arial" w:cs="Arial"/>
                <w:i/>
                <w:iCs/>
                <w:sz w:val="22"/>
                <w:szCs w:val="22"/>
              </w:rPr>
              <w:t>monitorar e avaliar</w:t>
            </w:r>
            <w:proofErr w:type="gramEnd"/>
            <w:r w:rsidRPr="00A63664">
              <w:rPr>
                <w:rFonts w:ascii="Arial" w:hAnsi="Arial" w:cs="Arial"/>
                <w:i/>
                <w:iCs/>
                <w:sz w:val="22"/>
                <w:szCs w:val="22"/>
              </w:rPr>
              <w:t xml:space="preserve"> os indicadores e as metas pactuados para a promoção da saúde da população negra visando </w:t>
            </w:r>
            <w:r w:rsidRPr="00A63664">
              <w:rPr>
                <w:rFonts w:ascii="Arial" w:hAnsi="Arial" w:cs="Arial"/>
                <w:i/>
                <w:iCs/>
                <w:sz w:val="22"/>
                <w:szCs w:val="22"/>
              </w:rPr>
              <w:lastRenderedPageBreak/>
              <w:t>reduzir as iniquidades macrorregionais, regionais, estaduais e municipais.</w:t>
            </w:r>
          </w:p>
          <w:p w14:paraId="4D7B98DC"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 xml:space="preserve">X – </w:t>
            </w:r>
            <w:proofErr w:type="gramStart"/>
            <w:r w:rsidRPr="00A63664">
              <w:rPr>
                <w:rFonts w:ascii="Arial" w:hAnsi="Arial" w:cs="Arial"/>
                <w:i/>
                <w:iCs/>
                <w:sz w:val="22"/>
                <w:szCs w:val="22"/>
              </w:rPr>
              <w:t>incluir</w:t>
            </w:r>
            <w:proofErr w:type="gramEnd"/>
            <w:r w:rsidRPr="00A63664">
              <w:rPr>
                <w:rFonts w:ascii="Arial" w:hAnsi="Arial" w:cs="Arial"/>
                <w:i/>
                <w:iCs/>
                <w:sz w:val="22"/>
                <w:szCs w:val="22"/>
              </w:rPr>
              <w:t xml:space="preserve"> as demandas específicas da população negra nos processos de regulação do sistema de saúde suplementar.</w:t>
            </w:r>
          </w:p>
          <w:p w14:paraId="19A41826"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XI – monitorar e avaliar as mudanças na cultura institucional, visando à garantia dos princípios antirracistas e não discriminatório.</w:t>
            </w:r>
          </w:p>
          <w:p w14:paraId="473F36AE" w14:textId="77777777" w:rsidR="00A63664" w:rsidRPr="00A63664" w:rsidRDefault="00A63664" w:rsidP="00A63664">
            <w:pPr>
              <w:rPr>
                <w:rFonts w:ascii="Arial" w:hAnsi="Arial" w:cs="Arial"/>
                <w:i/>
                <w:iCs/>
                <w:sz w:val="22"/>
                <w:szCs w:val="22"/>
              </w:rPr>
            </w:pPr>
            <w:r w:rsidRPr="00A63664">
              <w:rPr>
                <w:rFonts w:ascii="Arial" w:hAnsi="Arial" w:cs="Arial"/>
                <w:i/>
                <w:iCs/>
                <w:sz w:val="22"/>
                <w:szCs w:val="22"/>
              </w:rPr>
              <w:t>XII – fomentar a realização de estudos e pesquisas sobre racismo e saúde da população negra.</w:t>
            </w:r>
          </w:p>
          <w:p w14:paraId="5F2198FC" w14:textId="77777777" w:rsidR="00A63664" w:rsidRPr="00A63664" w:rsidRDefault="00A63664" w:rsidP="00A63664">
            <w:pPr>
              <w:rPr>
                <w:rFonts w:ascii="Arial" w:hAnsi="Arial" w:cs="Arial"/>
                <w:i/>
                <w:iCs/>
                <w:sz w:val="22"/>
                <w:szCs w:val="22"/>
              </w:rPr>
            </w:pPr>
          </w:p>
        </w:tc>
      </w:tr>
      <w:tr w:rsidR="00A63664" w:rsidRPr="00A63664" w14:paraId="2D7D05DE" w14:textId="77777777" w:rsidTr="00E46990">
        <w:tc>
          <w:tcPr>
            <w:tcW w:w="2263" w:type="dxa"/>
          </w:tcPr>
          <w:p w14:paraId="69AF42BE"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lastRenderedPageBreak/>
              <w:t>Princípios e diretrizes do SUS</w:t>
            </w:r>
          </w:p>
        </w:tc>
        <w:tc>
          <w:tcPr>
            <w:tcW w:w="12333" w:type="dxa"/>
            <w:gridSpan w:val="2"/>
          </w:tcPr>
          <w:p w14:paraId="03A06093" w14:textId="77777777" w:rsidR="00A63664" w:rsidRPr="00A63664" w:rsidRDefault="00A63664" w:rsidP="00A63664">
            <w:pPr>
              <w:pStyle w:val="PargrafodaLista"/>
              <w:numPr>
                <w:ilvl w:val="0"/>
                <w:numId w:val="1"/>
              </w:numPr>
              <w:rPr>
                <w:rFonts w:ascii="Arial" w:hAnsi="Arial" w:cs="Arial"/>
                <w:i/>
                <w:iCs/>
                <w:sz w:val="22"/>
                <w:szCs w:val="22"/>
              </w:rPr>
            </w:pPr>
            <w:r w:rsidRPr="00A63664">
              <w:rPr>
                <w:rFonts w:ascii="Arial" w:hAnsi="Arial" w:cs="Arial"/>
                <w:i/>
                <w:iCs/>
                <w:sz w:val="22"/>
                <w:szCs w:val="22"/>
              </w:rPr>
              <w:t>Universalidade e igualdade – garantir e ampliar o acesso da população negra às ações e aos serviços de saúde.</w:t>
            </w:r>
          </w:p>
          <w:p w14:paraId="3AA589F2" w14:textId="77777777" w:rsidR="00A63664" w:rsidRPr="00A63664" w:rsidRDefault="00A63664" w:rsidP="00A63664">
            <w:pPr>
              <w:pStyle w:val="PargrafodaLista"/>
              <w:numPr>
                <w:ilvl w:val="0"/>
                <w:numId w:val="1"/>
              </w:numPr>
              <w:rPr>
                <w:rFonts w:ascii="Arial" w:hAnsi="Arial" w:cs="Arial"/>
                <w:i/>
                <w:iCs/>
                <w:sz w:val="22"/>
                <w:szCs w:val="22"/>
              </w:rPr>
            </w:pPr>
            <w:r w:rsidRPr="00A63664">
              <w:rPr>
                <w:rFonts w:ascii="Arial" w:hAnsi="Arial" w:cs="Arial"/>
                <w:i/>
                <w:iCs/>
                <w:sz w:val="22"/>
                <w:szCs w:val="22"/>
              </w:rPr>
              <w:t>Direito à informação – aprimorar a qualidade dos sistemas de informação em saúde, por meio da inclusão do quesito cor na coleta, e do processamento e da análise dos dados desagregados por raça, cor e etnia.</w:t>
            </w:r>
          </w:p>
          <w:p w14:paraId="7BA9D8A2" w14:textId="77777777" w:rsidR="00A63664" w:rsidRPr="00A63664" w:rsidRDefault="00A63664" w:rsidP="00A63664">
            <w:pPr>
              <w:pStyle w:val="PargrafodaLista"/>
              <w:numPr>
                <w:ilvl w:val="0"/>
                <w:numId w:val="1"/>
              </w:numPr>
              <w:rPr>
                <w:rFonts w:ascii="Arial" w:hAnsi="Arial" w:cs="Arial"/>
                <w:i/>
                <w:iCs/>
                <w:sz w:val="22"/>
                <w:szCs w:val="22"/>
              </w:rPr>
            </w:pPr>
            <w:r w:rsidRPr="00A63664">
              <w:rPr>
                <w:rFonts w:ascii="Arial" w:hAnsi="Arial" w:cs="Arial"/>
                <w:i/>
                <w:iCs/>
                <w:sz w:val="22"/>
                <w:szCs w:val="22"/>
              </w:rPr>
              <w:t>Participação da comunidade – combate às discriminações de gênero e orientação sexual no exercício do controle social.</w:t>
            </w:r>
          </w:p>
          <w:p w14:paraId="3DE8C93F" w14:textId="77777777" w:rsidR="00A63664" w:rsidRPr="00A63664" w:rsidRDefault="00A63664" w:rsidP="00A63664">
            <w:pPr>
              <w:pStyle w:val="PargrafodaLista"/>
              <w:numPr>
                <w:ilvl w:val="0"/>
                <w:numId w:val="1"/>
              </w:numPr>
              <w:rPr>
                <w:rFonts w:ascii="Arial" w:hAnsi="Arial" w:cs="Arial"/>
                <w:sz w:val="22"/>
                <w:szCs w:val="22"/>
              </w:rPr>
            </w:pPr>
            <w:r w:rsidRPr="00A63664">
              <w:rPr>
                <w:rFonts w:ascii="Arial" w:hAnsi="Arial" w:cs="Arial"/>
                <w:i/>
                <w:iCs/>
                <w:sz w:val="22"/>
                <w:szCs w:val="22"/>
              </w:rPr>
              <w:t>Descentralização e regionalização – pactuação com três esferas de governo de indicadores e metas para a promoção da equidade étnico-racial na saúde, bem como inclusão das realidades rural e urbana, de modo a reduzir as iniquidades macrorregionais, regionais, estaduais e municipais.</w:t>
            </w:r>
          </w:p>
          <w:p w14:paraId="267D3C3F" w14:textId="77777777" w:rsidR="00A63664" w:rsidRPr="00A63664" w:rsidRDefault="00A63664" w:rsidP="00A63664">
            <w:pPr>
              <w:pStyle w:val="PargrafodaLista"/>
              <w:rPr>
                <w:rFonts w:ascii="Arial" w:hAnsi="Arial" w:cs="Arial"/>
                <w:sz w:val="22"/>
                <w:szCs w:val="22"/>
              </w:rPr>
            </w:pPr>
          </w:p>
        </w:tc>
      </w:tr>
      <w:tr w:rsidR="00A63664" w:rsidRPr="00A63664" w14:paraId="11B5A584" w14:textId="77777777" w:rsidTr="00E46990">
        <w:trPr>
          <w:trHeight w:val="312"/>
        </w:trPr>
        <w:tc>
          <w:tcPr>
            <w:tcW w:w="14596" w:type="dxa"/>
            <w:gridSpan w:val="3"/>
            <w:shd w:val="clear" w:color="auto" w:fill="BDD6EE" w:themeFill="accent5" w:themeFillTint="66"/>
          </w:tcPr>
          <w:p w14:paraId="3056EC57"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Considerações de equidade</w:t>
            </w:r>
          </w:p>
        </w:tc>
      </w:tr>
      <w:tr w:rsidR="00A63664" w:rsidRPr="00A63664" w14:paraId="18E68920" w14:textId="77777777" w:rsidTr="00E46990">
        <w:trPr>
          <w:trHeight w:val="357"/>
        </w:trPr>
        <w:tc>
          <w:tcPr>
            <w:tcW w:w="2263" w:type="dxa"/>
          </w:tcPr>
          <w:p w14:paraId="009B7F9D" w14:textId="77777777" w:rsidR="00A63664" w:rsidRPr="00A63664" w:rsidRDefault="00A63664" w:rsidP="00A63664">
            <w:pPr>
              <w:rPr>
                <w:rFonts w:ascii="Arial" w:hAnsi="Arial" w:cs="Arial"/>
                <w:sz w:val="22"/>
                <w:szCs w:val="22"/>
              </w:rPr>
            </w:pPr>
          </w:p>
        </w:tc>
        <w:tc>
          <w:tcPr>
            <w:tcW w:w="6237" w:type="dxa"/>
          </w:tcPr>
          <w:p w14:paraId="687B6886" w14:textId="77777777" w:rsidR="00A63664" w:rsidRPr="00A63664" w:rsidRDefault="00A63664" w:rsidP="00A63664">
            <w:pPr>
              <w:rPr>
                <w:rFonts w:ascii="Arial" w:hAnsi="Arial" w:cs="Arial"/>
                <w:sz w:val="22"/>
                <w:szCs w:val="22"/>
              </w:rPr>
            </w:pPr>
            <w:r w:rsidRPr="00A63664">
              <w:rPr>
                <w:rFonts w:ascii="Arial" w:hAnsi="Arial" w:cs="Arial"/>
                <w:sz w:val="22"/>
                <w:szCs w:val="22"/>
              </w:rPr>
              <w:t>Barreiras potenciais</w:t>
            </w:r>
          </w:p>
        </w:tc>
        <w:tc>
          <w:tcPr>
            <w:tcW w:w="6096" w:type="dxa"/>
          </w:tcPr>
          <w:p w14:paraId="6165C940" w14:textId="77777777" w:rsidR="00A63664" w:rsidRPr="00A63664" w:rsidRDefault="00A63664" w:rsidP="00A63664">
            <w:pPr>
              <w:rPr>
                <w:rFonts w:ascii="Arial" w:hAnsi="Arial" w:cs="Arial"/>
                <w:sz w:val="22"/>
                <w:szCs w:val="22"/>
              </w:rPr>
            </w:pPr>
            <w:r w:rsidRPr="00A63664">
              <w:rPr>
                <w:rFonts w:ascii="Arial" w:hAnsi="Arial" w:cs="Arial"/>
                <w:sz w:val="22"/>
                <w:szCs w:val="22"/>
              </w:rPr>
              <w:t>Formas possíveis de enfrentar barreiras</w:t>
            </w:r>
          </w:p>
        </w:tc>
      </w:tr>
      <w:tr w:rsidR="00A63664" w:rsidRPr="00A63664" w14:paraId="198E4E47" w14:textId="77777777" w:rsidTr="00E46990">
        <w:tc>
          <w:tcPr>
            <w:tcW w:w="2263" w:type="dxa"/>
          </w:tcPr>
          <w:p w14:paraId="5F27412D"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P – Local de residência</w:t>
            </w:r>
          </w:p>
        </w:tc>
        <w:tc>
          <w:tcPr>
            <w:tcW w:w="6237" w:type="dxa"/>
          </w:tcPr>
          <w:p w14:paraId="7FFC5028" w14:textId="77777777" w:rsidR="00A63664" w:rsidRPr="00A63664" w:rsidRDefault="00A63664" w:rsidP="00A63664">
            <w:pPr>
              <w:pStyle w:val="PargrafodaLista"/>
              <w:numPr>
                <w:ilvl w:val="0"/>
                <w:numId w:val="2"/>
              </w:numPr>
              <w:rPr>
                <w:rFonts w:ascii="Arial" w:hAnsi="Arial" w:cs="Arial"/>
                <w:i/>
                <w:iCs/>
                <w:sz w:val="22"/>
                <w:szCs w:val="22"/>
              </w:rPr>
            </w:pPr>
            <w:r w:rsidRPr="00A63664">
              <w:rPr>
                <w:rFonts w:ascii="Arial" w:hAnsi="Arial" w:cs="Arial"/>
                <w:i/>
                <w:iCs/>
                <w:sz w:val="22"/>
                <w:szCs w:val="22"/>
              </w:rPr>
              <w:t>Pessoas pretas que vivem nas periferias podem estar mais expostas à falta de saneamento básico.</w:t>
            </w:r>
          </w:p>
        </w:tc>
        <w:tc>
          <w:tcPr>
            <w:tcW w:w="6096" w:type="dxa"/>
          </w:tcPr>
          <w:p w14:paraId="0D9C158E" w14:textId="77777777" w:rsidR="00A63664" w:rsidRPr="00A63664" w:rsidRDefault="00A63664" w:rsidP="00A63664">
            <w:pPr>
              <w:pStyle w:val="PargrafodaLista"/>
              <w:numPr>
                <w:ilvl w:val="0"/>
                <w:numId w:val="2"/>
              </w:numPr>
              <w:rPr>
                <w:rFonts w:ascii="Arial" w:hAnsi="Arial" w:cs="Arial"/>
                <w:i/>
                <w:iCs/>
                <w:sz w:val="22"/>
                <w:szCs w:val="22"/>
              </w:rPr>
            </w:pPr>
            <w:r w:rsidRPr="00A63664">
              <w:rPr>
                <w:rFonts w:ascii="Arial" w:hAnsi="Arial" w:cs="Arial"/>
                <w:i/>
                <w:iCs/>
                <w:sz w:val="22"/>
                <w:szCs w:val="22"/>
              </w:rPr>
              <w:t>Políticas públicas de saneamento.</w:t>
            </w:r>
          </w:p>
          <w:p w14:paraId="37F3A85A" w14:textId="77777777" w:rsidR="00A63664" w:rsidRPr="00A63664" w:rsidRDefault="00A63664" w:rsidP="00A63664">
            <w:pPr>
              <w:pStyle w:val="PargrafodaLista"/>
              <w:numPr>
                <w:ilvl w:val="0"/>
                <w:numId w:val="2"/>
              </w:numPr>
              <w:rPr>
                <w:rFonts w:ascii="Arial" w:hAnsi="Arial" w:cs="Arial"/>
                <w:i/>
                <w:iCs/>
                <w:sz w:val="22"/>
                <w:szCs w:val="22"/>
              </w:rPr>
            </w:pPr>
            <w:r w:rsidRPr="00A63664">
              <w:rPr>
                <w:rFonts w:ascii="Arial" w:hAnsi="Arial" w:cs="Arial"/>
                <w:i/>
                <w:iCs/>
                <w:sz w:val="22"/>
                <w:szCs w:val="22"/>
              </w:rPr>
              <w:t>Informações para a população sobre como mitigar riscos do saneamento precário.</w:t>
            </w:r>
          </w:p>
        </w:tc>
      </w:tr>
      <w:tr w:rsidR="00A63664" w:rsidRPr="00A63664" w14:paraId="14E20C7A" w14:textId="77777777" w:rsidTr="00E46990">
        <w:tc>
          <w:tcPr>
            <w:tcW w:w="2263" w:type="dxa"/>
          </w:tcPr>
          <w:p w14:paraId="035DBB82"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R – Raça, etnia, cultura ou linguagem</w:t>
            </w:r>
          </w:p>
        </w:tc>
        <w:tc>
          <w:tcPr>
            <w:tcW w:w="6237" w:type="dxa"/>
          </w:tcPr>
          <w:p w14:paraId="3DEF292B" w14:textId="77777777" w:rsidR="00A63664" w:rsidRPr="00A63664" w:rsidRDefault="00A63664" w:rsidP="00A63664">
            <w:pPr>
              <w:rPr>
                <w:rFonts w:ascii="Arial" w:hAnsi="Arial" w:cs="Arial"/>
                <w:i/>
                <w:iCs/>
                <w:sz w:val="22"/>
                <w:szCs w:val="22"/>
              </w:rPr>
            </w:pPr>
          </w:p>
        </w:tc>
        <w:tc>
          <w:tcPr>
            <w:tcW w:w="6096" w:type="dxa"/>
          </w:tcPr>
          <w:p w14:paraId="1B0B2047" w14:textId="77777777" w:rsidR="00A63664" w:rsidRPr="00A63664" w:rsidRDefault="00A63664" w:rsidP="00A63664">
            <w:pPr>
              <w:rPr>
                <w:rFonts w:ascii="Arial" w:hAnsi="Arial" w:cs="Arial"/>
                <w:i/>
                <w:iCs/>
                <w:sz w:val="22"/>
                <w:szCs w:val="22"/>
              </w:rPr>
            </w:pPr>
          </w:p>
        </w:tc>
      </w:tr>
      <w:tr w:rsidR="00A63664" w:rsidRPr="00A63664" w14:paraId="6E3A0674" w14:textId="77777777" w:rsidTr="00E46990">
        <w:tc>
          <w:tcPr>
            <w:tcW w:w="2263" w:type="dxa"/>
          </w:tcPr>
          <w:p w14:paraId="3F055F24"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O – Ocupação ou trabalho</w:t>
            </w:r>
          </w:p>
        </w:tc>
        <w:tc>
          <w:tcPr>
            <w:tcW w:w="6237" w:type="dxa"/>
          </w:tcPr>
          <w:p w14:paraId="4C1FB21B" w14:textId="77777777" w:rsidR="00A63664" w:rsidRPr="00A63664" w:rsidRDefault="00A63664" w:rsidP="00A63664">
            <w:pPr>
              <w:rPr>
                <w:rFonts w:ascii="Arial" w:hAnsi="Arial" w:cs="Arial"/>
                <w:i/>
                <w:iCs/>
                <w:sz w:val="22"/>
                <w:szCs w:val="22"/>
              </w:rPr>
            </w:pPr>
          </w:p>
        </w:tc>
        <w:tc>
          <w:tcPr>
            <w:tcW w:w="6096" w:type="dxa"/>
          </w:tcPr>
          <w:p w14:paraId="7700A154" w14:textId="77777777" w:rsidR="00A63664" w:rsidRPr="00A63664" w:rsidRDefault="00A63664" w:rsidP="00A63664">
            <w:pPr>
              <w:rPr>
                <w:rFonts w:ascii="Arial" w:hAnsi="Arial" w:cs="Arial"/>
                <w:i/>
                <w:iCs/>
                <w:sz w:val="22"/>
                <w:szCs w:val="22"/>
              </w:rPr>
            </w:pPr>
          </w:p>
        </w:tc>
      </w:tr>
      <w:tr w:rsidR="00A63664" w:rsidRPr="00A63664" w14:paraId="6E5791E6" w14:textId="77777777" w:rsidTr="00E46990">
        <w:tc>
          <w:tcPr>
            <w:tcW w:w="2263" w:type="dxa"/>
          </w:tcPr>
          <w:p w14:paraId="4316828E"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G – Gênero, sexo ou orientação sexual</w:t>
            </w:r>
          </w:p>
        </w:tc>
        <w:tc>
          <w:tcPr>
            <w:tcW w:w="6237" w:type="dxa"/>
          </w:tcPr>
          <w:p w14:paraId="519B6983" w14:textId="77777777" w:rsidR="00A63664" w:rsidRPr="00A63664" w:rsidRDefault="00A63664" w:rsidP="00A63664">
            <w:pPr>
              <w:rPr>
                <w:rFonts w:ascii="Arial" w:hAnsi="Arial" w:cs="Arial"/>
                <w:i/>
                <w:iCs/>
                <w:sz w:val="22"/>
                <w:szCs w:val="22"/>
              </w:rPr>
            </w:pPr>
          </w:p>
        </w:tc>
        <w:tc>
          <w:tcPr>
            <w:tcW w:w="6096" w:type="dxa"/>
          </w:tcPr>
          <w:p w14:paraId="522B9DF5" w14:textId="77777777" w:rsidR="00A63664" w:rsidRPr="00A63664" w:rsidRDefault="00A63664" w:rsidP="00A63664">
            <w:pPr>
              <w:rPr>
                <w:rFonts w:ascii="Arial" w:hAnsi="Arial" w:cs="Arial"/>
                <w:i/>
                <w:iCs/>
                <w:sz w:val="22"/>
                <w:szCs w:val="22"/>
              </w:rPr>
            </w:pPr>
          </w:p>
        </w:tc>
      </w:tr>
      <w:tr w:rsidR="00A63664" w:rsidRPr="00A63664" w14:paraId="1D25A315" w14:textId="77777777" w:rsidTr="00E46990">
        <w:tc>
          <w:tcPr>
            <w:tcW w:w="2263" w:type="dxa"/>
          </w:tcPr>
          <w:p w14:paraId="308512DA"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R – Religião</w:t>
            </w:r>
          </w:p>
        </w:tc>
        <w:tc>
          <w:tcPr>
            <w:tcW w:w="6237" w:type="dxa"/>
          </w:tcPr>
          <w:p w14:paraId="7C30F70E" w14:textId="77777777" w:rsidR="00A63664" w:rsidRPr="00A63664" w:rsidRDefault="00A63664" w:rsidP="00A63664">
            <w:pPr>
              <w:pStyle w:val="PargrafodaLista"/>
              <w:numPr>
                <w:ilvl w:val="0"/>
                <w:numId w:val="3"/>
              </w:numPr>
              <w:rPr>
                <w:rFonts w:ascii="Arial" w:hAnsi="Arial" w:cs="Arial"/>
                <w:i/>
                <w:iCs/>
                <w:sz w:val="22"/>
                <w:szCs w:val="22"/>
              </w:rPr>
            </w:pPr>
            <w:r w:rsidRPr="00A63664">
              <w:rPr>
                <w:rFonts w:ascii="Arial" w:hAnsi="Arial" w:cs="Arial"/>
                <w:i/>
                <w:iCs/>
                <w:sz w:val="22"/>
                <w:szCs w:val="22"/>
              </w:rPr>
              <w:t>Pessoas que seguem religiões de matriz africana podem sofrer mais preconceito e discriminação.</w:t>
            </w:r>
          </w:p>
        </w:tc>
        <w:tc>
          <w:tcPr>
            <w:tcW w:w="6096" w:type="dxa"/>
          </w:tcPr>
          <w:p w14:paraId="7D82C752" w14:textId="77777777" w:rsidR="00A63664" w:rsidRPr="00A63664" w:rsidRDefault="00A63664" w:rsidP="00A63664">
            <w:pPr>
              <w:pStyle w:val="PargrafodaLista"/>
              <w:numPr>
                <w:ilvl w:val="0"/>
                <w:numId w:val="3"/>
              </w:numPr>
              <w:rPr>
                <w:rFonts w:ascii="Arial" w:hAnsi="Arial" w:cs="Arial"/>
                <w:i/>
                <w:iCs/>
                <w:sz w:val="22"/>
                <w:szCs w:val="22"/>
              </w:rPr>
            </w:pPr>
            <w:r w:rsidRPr="00A63664">
              <w:rPr>
                <w:rFonts w:ascii="Arial" w:hAnsi="Arial" w:cs="Arial"/>
                <w:i/>
                <w:iCs/>
                <w:sz w:val="22"/>
                <w:szCs w:val="22"/>
              </w:rPr>
              <w:t>Treinamentos para a equipe e adoção de políticas internas que coíbam o preconceito religioso.</w:t>
            </w:r>
          </w:p>
        </w:tc>
      </w:tr>
      <w:tr w:rsidR="00A63664" w:rsidRPr="00A63664" w14:paraId="5B1F9DA3" w14:textId="77777777" w:rsidTr="00E46990">
        <w:tc>
          <w:tcPr>
            <w:tcW w:w="2263" w:type="dxa"/>
          </w:tcPr>
          <w:p w14:paraId="47EE0DB5"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E – Nível educacional</w:t>
            </w:r>
          </w:p>
        </w:tc>
        <w:tc>
          <w:tcPr>
            <w:tcW w:w="6237" w:type="dxa"/>
          </w:tcPr>
          <w:p w14:paraId="1290B19F" w14:textId="77777777" w:rsidR="00A63664" w:rsidRPr="00A63664" w:rsidRDefault="00A63664" w:rsidP="00A63664">
            <w:pPr>
              <w:rPr>
                <w:rFonts w:ascii="Arial" w:hAnsi="Arial" w:cs="Arial"/>
                <w:i/>
                <w:iCs/>
                <w:sz w:val="22"/>
                <w:szCs w:val="22"/>
              </w:rPr>
            </w:pPr>
          </w:p>
        </w:tc>
        <w:tc>
          <w:tcPr>
            <w:tcW w:w="6096" w:type="dxa"/>
          </w:tcPr>
          <w:p w14:paraId="53FAE492" w14:textId="77777777" w:rsidR="00A63664" w:rsidRPr="00A63664" w:rsidRDefault="00A63664" w:rsidP="00A63664">
            <w:pPr>
              <w:rPr>
                <w:rFonts w:ascii="Arial" w:hAnsi="Arial" w:cs="Arial"/>
                <w:i/>
                <w:iCs/>
                <w:sz w:val="22"/>
                <w:szCs w:val="22"/>
              </w:rPr>
            </w:pPr>
          </w:p>
        </w:tc>
      </w:tr>
      <w:tr w:rsidR="00A63664" w:rsidRPr="00A63664" w14:paraId="35FA3715" w14:textId="77777777" w:rsidTr="00E46990">
        <w:tc>
          <w:tcPr>
            <w:tcW w:w="2263" w:type="dxa"/>
          </w:tcPr>
          <w:p w14:paraId="66EF65EE"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lastRenderedPageBreak/>
              <w:t xml:space="preserve">S – </w:t>
            </w:r>
            <w:r w:rsidRPr="00A63664">
              <w:rPr>
                <w:rFonts w:ascii="Arial" w:hAnsi="Arial" w:cs="Arial"/>
                <w:b/>
                <w:bCs/>
                <w:i/>
                <w:iCs/>
                <w:sz w:val="22"/>
                <w:szCs w:val="22"/>
              </w:rPr>
              <w:t>Status</w:t>
            </w:r>
            <w:r w:rsidRPr="00A63664">
              <w:rPr>
                <w:rFonts w:ascii="Arial" w:hAnsi="Arial" w:cs="Arial"/>
                <w:b/>
                <w:bCs/>
                <w:sz w:val="22"/>
                <w:szCs w:val="22"/>
              </w:rPr>
              <w:t xml:space="preserve"> socioeconômico</w:t>
            </w:r>
          </w:p>
        </w:tc>
        <w:tc>
          <w:tcPr>
            <w:tcW w:w="6237" w:type="dxa"/>
          </w:tcPr>
          <w:p w14:paraId="09265500" w14:textId="77777777" w:rsidR="00A63664" w:rsidRPr="00A63664" w:rsidRDefault="00A63664" w:rsidP="00A63664">
            <w:pPr>
              <w:rPr>
                <w:rFonts w:ascii="Arial" w:hAnsi="Arial" w:cs="Arial"/>
                <w:i/>
                <w:iCs/>
                <w:sz w:val="22"/>
                <w:szCs w:val="22"/>
              </w:rPr>
            </w:pPr>
          </w:p>
        </w:tc>
        <w:tc>
          <w:tcPr>
            <w:tcW w:w="6096" w:type="dxa"/>
          </w:tcPr>
          <w:p w14:paraId="1E9785F1" w14:textId="77777777" w:rsidR="00A63664" w:rsidRPr="00A63664" w:rsidRDefault="00A63664" w:rsidP="00A63664">
            <w:pPr>
              <w:rPr>
                <w:rFonts w:ascii="Arial" w:hAnsi="Arial" w:cs="Arial"/>
                <w:i/>
                <w:iCs/>
                <w:sz w:val="22"/>
                <w:szCs w:val="22"/>
              </w:rPr>
            </w:pPr>
          </w:p>
        </w:tc>
      </w:tr>
      <w:tr w:rsidR="00A63664" w:rsidRPr="00A63664" w14:paraId="66EEEA10" w14:textId="77777777" w:rsidTr="00E46990">
        <w:tc>
          <w:tcPr>
            <w:tcW w:w="2263" w:type="dxa"/>
          </w:tcPr>
          <w:p w14:paraId="5B1FF3DF" w14:textId="77777777" w:rsidR="00A63664" w:rsidRPr="00A63664" w:rsidRDefault="00A63664" w:rsidP="00A63664">
            <w:pPr>
              <w:rPr>
                <w:rFonts w:ascii="Arial" w:hAnsi="Arial" w:cs="Arial"/>
                <w:b/>
                <w:bCs/>
                <w:sz w:val="22"/>
                <w:szCs w:val="22"/>
              </w:rPr>
            </w:pPr>
            <w:r w:rsidRPr="00A63664">
              <w:rPr>
                <w:rFonts w:ascii="Arial" w:hAnsi="Arial" w:cs="Arial"/>
                <w:b/>
                <w:bCs/>
                <w:sz w:val="22"/>
                <w:szCs w:val="22"/>
              </w:rPr>
              <w:t>S – Capital social</w:t>
            </w:r>
          </w:p>
        </w:tc>
        <w:tc>
          <w:tcPr>
            <w:tcW w:w="6237" w:type="dxa"/>
          </w:tcPr>
          <w:p w14:paraId="73DBAAA5" w14:textId="77777777" w:rsidR="00A63664" w:rsidRPr="00A63664" w:rsidRDefault="00A63664" w:rsidP="00A63664">
            <w:pPr>
              <w:pStyle w:val="PargrafodaLista"/>
              <w:numPr>
                <w:ilvl w:val="0"/>
                <w:numId w:val="4"/>
              </w:numPr>
              <w:rPr>
                <w:rFonts w:ascii="Arial" w:hAnsi="Arial" w:cs="Arial"/>
                <w:i/>
                <w:iCs/>
                <w:sz w:val="22"/>
                <w:szCs w:val="22"/>
              </w:rPr>
            </w:pPr>
            <w:r w:rsidRPr="00A63664">
              <w:rPr>
                <w:rFonts w:ascii="Arial" w:hAnsi="Arial" w:cs="Arial"/>
                <w:i/>
                <w:iCs/>
                <w:sz w:val="22"/>
                <w:szCs w:val="22"/>
              </w:rPr>
              <w:t>Pessoas pretas são as mais encarceradas e são mais expostas ao estigma e ao adoecimento decorrentes da prisão.</w:t>
            </w:r>
          </w:p>
        </w:tc>
        <w:tc>
          <w:tcPr>
            <w:tcW w:w="6096" w:type="dxa"/>
          </w:tcPr>
          <w:p w14:paraId="4D2E66B7" w14:textId="77777777" w:rsidR="00A63664" w:rsidRPr="00A63664" w:rsidRDefault="00A63664" w:rsidP="00A63664">
            <w:pPr>
              <w:pStyle w:val="PargrafodaLista"/>
              <w:numPr>
                <w:ilvl w:val="0"/>
                <w:numId w:val="4"/>
              </w:numPr>
              <w:rPr>
                <w:rFonts w:ascii="Arial" w:hAnsi="Arial" w:cs="Arial"/>
                <w:i/>
                <w:iCs/>
                <w:sz w:val="22"/>
                <w:szCs w:val="22"/>
              </w:rPr>
            </w:pPr>
            <w:r w:rsidRPr="00A63664">
              <w:rPr>
                <w:rFonts w:ascii="Arial" w:hAnsi="Arial" w:cs="Arial"/>
                <w:i/>
                <w:iCs/>
                <w:sz w:val="22"/>
                <w:szCs w:val="22"/>
              </w:rPr>
              <w:t>Realizar ações comunitárias de combate ao estigma.</w:t>
            </w:r>
          </w:p>
          <w:p w14:paraId="08274E2E" w14:textId="77777777" w:rsidR="00A63664" w:rsidRPr="00A63664" w:rsidRDefault="00A63664" w:rsidP="00A63664">
            <w:pPr>
              <w:pStyle w:val="PargrafodaLista"/>
              <w:numPr>
                <w:ilvl w:val="0"/>
                <w:numId w:val="4"/>
              </w:numPr>
              <w:rPr>
                <w:rFonts w:ascii="Arial" w:hAnsi="Arial" w:cs="Arial"/>
                <w:i/>
                <w:iCs/>
                <w:sz w:val="22"/>
                <w:szCs w:val="22"/>
              </w:rPr>
            </w:pPr>
            <w:r w:rsidRPr="00A63664">
              <w:rPr>
                <w:rFonts w:ascii="Arial" w:hAnsi="Arial" w:cs="Arial"/>
                <w:i/>
                <w:iCs/>
                <w:sz w:val="22"/>
                <w:szCs w:val="22"/>
              </w:rPr>
              <w:t>Prover serviços de saúde específicos para a população prisional.</w:t>
            </w:r>
          </w:p>
        </w:tc>
      </w:tr>
    </w:tbl>
    <w:p w14:paraId="10660A5F" w14:textId="77777777" w:rsidR="00AF1E9C" w:rsidRPr="00A63664" w:rsidRDefault="00AF1E9C" w:rsidP="00A63664"/>
    <w:sectPr w:rsidR="00AF1E9C" w:rsidRPr="00A63664" w:rsidSect="00A6366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C1C5E"/>
    <w:multiLevelType w:val="hybridMultilevel"/>
    <w:tmpl w:val="02DAE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0716BF"/>
    <w:multiLevelType w:val="hybridMultilevel"/>
    <w:tmpl w:val="01B26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F549E3"/>
    <w:multiLevelType w:val="hybridMultilevel"/>
    <w:tmpl w:val="EC481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51C2E53"/>
    <w:multiLevelType w:val="hybridMultilevel"/>
    <w:tmpl w:val="CA6AD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9476854">
    <w:abstractNumId w:val="0"/>
  </w:num>
  <w:num w:numId="2" w16cid:durableId="1595358385">
    <w:abstractNumId w:val="1"/>
  </w:num>
  <w:num w:numId="3" w16cid:durableId="44986932">
    <w:abstractNumId w:val="2"/>
  </w:num>
  <w:num w:numId="4" w16cid:durableId="2052991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64"/>
    <w:rsid w:val="0015161C"/>
    <w:rsid w:val="002E0C25"/>
    <w:rsid w:val="004A54FF"/>
    <w:rsid w:val="00994867"/>
    <w:rsid w:val="009D5585"/>
    <w:rsid w:val="009F6DEF"/>
    <w:rsid w:val="00A63664"/>
    <w:rsid w:val="00AF1E9C"/>
    <w:rsid w:val="00B8600B"/>
    <w:rsid w:val="00C80DE7"/>
    <w:rsid w:val="00D76B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1BE9"/>
  <w15:chartTrackingRefBased/>
  <w15:docId w15:val="{6DCD55D9-8BB3-40AB-99C0-89BB82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A63664"/>
    <w:pPr>
      <w:ind w:left="720"/>
      <w:contextualSpacing/>
    </w:pPr>
  </w:style>
  <w:style w:type="table" w:styleId="Tabelacomgrade">
    <w:name w:val="Table Grid"/>
    <w:basedOn w:val="Tabelanormal"/>
    <w:uiPriority w:val="39"/>
    <w:rsid w:val="00A63664"/>
    <w:pPr>
      <w:widowControl w:val="0"/>
      <w:autoSpaceDN w:val="0"/>
      <w:spacing w:after="0" w:line="240" w:lineRule="auto"/>
      <w:textAlignment w:val="baseline"/>
    </w:pPr>
    <w:rPr>
      <w:rFonts w:ascii="Liberation Serif" w:eastAsia="SimSun" w:hAnsi="Liberation Serif" w:cs="Lohit Hindi"/>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basedOn w:val="Fontepargpadro"/>
    <w:link w:val="PargrafodaLista"/>
    <w:uiPriority w:val="34"/>
    <w:rsid w:val="00A63664"/>
  </w:style>
  <w:style w:type="character" w:styleId="Hyperlink">
    <w:name w:val="Hyperlink"/>
    <w:basedOn w:val="Fontepargpadro"/>
    <w:uiPriority w:val="99"/>
    <w:unhideWhenUsed/>
    <w:rsid w:val="00A636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vsms.saude.gov.br/bvs/publicacoes/politica_nacional_saude_populacao_negra_3d.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680</Words>
  <Characters>3677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Saraiva Silva Resende</dc:creator>
  <cp:keywords/>
  <dc:description/>
  <cp:lastModifiedBy>Sarah Saraiva Silva Resende</cp:lastModifiedBy>
  <cp:revision>1</cp:revision>
  <dcterms:created xsi:type="dcterms:W3CDTF">2023-01-02T17:41:00Z</dcterms:created>
  <dcterms:modified xsi:type="dcterms:W3CDTF">2023-01-02T17:45:00Z</dcterms:modified>
</cp:coreProperties>
</file>