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8475BB" w:rsidRDefault="0017249A" w:rsidP="00E60000">
      <w:bookmarkStart w:id="0" w:name="_Toc217925691"/>
      <w:bookmarkStart w:id="1" w:name="_Toc217932281"/>
      <w:bookmarkStart w:id="2" w:name="_Toc217935657"/>
      <w:bookmarkStart w:id="3" w:name="_Toc220164062"/>
      <w:r w:rsidRPr="008475BB">
        <w:rPr>
          <w:rFonts w:hint="cs"/>
        </w:rPr>
        <w:lastRenderedPageBreak/>
        <w:t>Úvod</w:t>
      </w:r>
      <w:bookmarkEnd w:id="0"/>
      <w:bookmarkEnd w:id="1"/>
      <w:bookmarkEnd w:id="2"/>
      <w:bookmarkEnd w:id="3"/>
    </w:p>
    <w:p w14:paraId="5481252B" w14:textId="77777777" w:rsidR="008678DD" w:rsidRDefault="00000000">
      <w:r w:rsidRPr="00E60000">
        <w:rPr>
          <w:rFonts w:ascii="Aharoni" w:hAnsi="Aharoni" w:cs="Aharoni" w:hint="cs"/>
        </w:rPr>
        <w:t>Dlouhodobé ekonomické benefity</w:t>
      </w:r>
      <w:r>
        <w:t xml:space="preserve">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B5954" w14:textId="77777777" w:rsidR="00E208F2" w:rsidRDefault="00E208F2" w:rsidP="00D27304">
      <w:pPr>
        <w:spacing w:after="0" w:line="240" w:lineRule="auto"/>
      </w:pPr>
      <w:r>
        <w:separator/>
      </w:r>
    </w:p>
  </w:endnote>
  <w:endnote w:type="continuationSeparator" w:id="0">
    <w:p w14:paraId="7DC63BA4" w14:textId="77777777" w:rsidR="00E208F2" w:rsidRDefault="00E208F2"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Aharoni">
    <w:panose1 w:val="02010803020104030203"/>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AA08F" w14:textId="77777777" w:rsidR="00E208F2" w:rsidRDefault="00E208F2" w:rsidP="00D27304">
      <w:pPr>
        <w:spacing w:after="0" w:line="240" w:lineRule="auto"/>
      </w:pPr>
      <w:r>
        <w:separator/>
      </w:r>
    </w:p>
  </w:footnote>
  <w:footnote w:type="continuationSeparator" w:id="0">
    <w:p w14:paraId="4C155371" w14:textId="77777777" w:rsidR="00E208F2" w:rsidRDefault="00E208F2"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2285"/>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0252"/>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475BB"/>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208F2"/>
    <w:rsid w:val="00E52AD3"/>
    <w:rsid w:val="00E5301F"/>
    <w:rsid w:val="00E54580"/>
    <w:rsid w:val="00E6000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2026-04-01T15:07:00Z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