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450" w:type="dxa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798"/>
        <w:gridCol w:w="3742"/>
        <w:gridCol w:w="3685"/>
        <w:gridCol w:w="3515"/>
        <w:gridCol w:w="3628"/>
        <w:gridCol w:w="3628"/>
      </w:tblGrid>
      <w:tr w:rsidR="00022372" w14:paraId="37C98FCF" w14:textId="77777777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2C101C8E" w14:textId="77777777" w:rsidR="00022372" w:rsidRDefault="00000000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12449FB" w14:textId="77777777" w:rsidR="00022372" w:rsidRDefault="00000000">
            <w:pPr>
              <w:jc w:val="center"/>
            </w:pPr>
            <w:r>
              <w:rPr>
                <w:b/>
                <w:sz w:val="24"/>
              </w:rPr>
              <w:t>Противоречия между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6836E637" w14:textId="77777777" w:rsidR="00022372" w:rsidRDefault="00000000">
            <w:pPr>
              <w:jc w:val="center"/>
            </w:pPr>
            <w:r>
              <w:rPr>
                <w:b/>
                <w:sz w:val="24"/>
              </w:rPr>
              <w:t>Задачи исследования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D2AC97D" w14:textId="77777777" w:rsidR="00022372" w:rsidRDefault="00000000">
            <w:pPr>
              <w:jc w:val="center"/>
            </w:pPr>
            <w:r>
              <w:rPr>
                <w:b/>
                <w:sz w:val="24"/>
              </w:rPr>
              <w:t>Результаты исследования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0D8088DF" w14:textId="77777777" w:rsidR="00022372" w:rsidRDefault="00000000">
            <w:pPr>
              <w:jc w:val="center"/>
            </w:pPr>
            <w:r>
              <w:rPr>
                <w:b/>
                <w:sz w:val="24"/>
              </w:rPr>
              <w:t>Новизна результатов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170F78EE" w14:textId="77777777" w:rsidR="00022372" w:rsidRDefault="00000000">
            <w:pPr>
              <w:jc w:val="center"/>
            </w:pPr>
            <w:r>
              <w:rPr>
                <w:b/>
                <w:sz w:val="24"/>
              </w:rPr>
              <w:t>Практическая ценность результатов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  <w:vAlign w:val="center"/>
          </w:tcPr>
          <w:p w14:paraId="479EF27D" w14:textId="77777777" w:rsidR="00022372" w:rsidRDefault="00000000">
            <w:pPr>
              <w:jc w:val="center"/>
            </w:pPr>
            <w:r>
              <w:rPr>
                <w:b/>
                <w:sz w:val="24"/>
              </w:rPr>
              <w:t>Теоретическая значимость результатов</w:t>
            </w:r>
          </w:p>
        </w:tc>
      </w:tr>
      <w:tr w:rsidR="00022372" w:rsidRPr="00EC6E12" w14:paraId="7ADA96E2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4A9ECF57" w14:textId="77777777" w:rsidR="00022372" w:rsidRDefault="00000000">
            <w:pPr>
              <w:jc w:val="center"/>
            </w:pPr>
            <w:r>
              <w:t>1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49851FF6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Противоречия между существующим информационным обеспечением ИБ-деятельности на подстанциях 110/10 кВ, описывающим активы и угрозы без привязки к технологическим функциям, и необходимостью его совершенствования в части представления связи нарушений целостности и доступности команд телеуправления, телесигналов и уставок релейной защиты и автоматики (РЗА) с технологическими последствиями — ошибочными оперативными переключениями и нарушением селективности отключения поврежденных присоединений.</w:t>
            </w:r>
            <w:proofErr w:type="spellEnd"/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327F4AA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Создание информационного обеспечения проактивной оценки защищенности АСУ ТП на базе ПТК EVICON НПП «ЭКРА» (АРМ и серверы с ПО EKRASCADA, контроллеры присоединений ЭКРА 24Х, терминалы РЗА, каналы связи) для подразделений ИБ субъектов КИИ в сфере энергетики в части формализованного представления цепочек «информационный актив — угроза — нарушаемое свойство безопасности — затрагиваемая технологическая функция — последствие».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7EE1DE7E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Информационное обеспечение проактивных действий по выявлению угроз ПТК EVICON, включающее реестр активов с указанием поддерживаемых ими технологических функций, модель нарушителя, схемы потоков телеизмерений, телесигнализации и телеуправления, в том числе обмена по МЭК 61850 (MMS, GOOSE), сведения о действующих мерах защиты и единый формат описания цепочек «актив — угроза — последствие».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3A218594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В отличие от аналогов, ограничивающихся перечнем активов и угроз, предложенное информационное обеспечение обеспечивает сквозную прослеживаемость от ИБ-события до технологического последствия, например от несанкционированного изменения уставок РЗА до нарушения селективности отключения при коротком замыкании на присоединении.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330E57B5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Применимо в многочисленных задачах подразделений ИБ, АСУ ТП и РЗА субъектов КИИ в сфере энергетики: актуализация модели угроз, определение границ защищаемых сегментов, выделение критичных команд, телесигналов и конфигураций оборудования подстанции, подготовка исходных данных для категорирования объектов КИИ.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48478588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Предложенный формат представления связи «актив — угроза — технологическое последствие» переносим на иные объекты защиты кибер-физической природы (водоснабжение, транспорт, химические производства), а также за пределы ИБ — в анализ функциональной безопасности и надежности, где нарушение проявляется через неверную работу управляемого процесса.</w:t>
            </w:r>
          </w:p>
        </w:tc>
      </w:tr>
      <w:tr w:rsidR="00022372" w:rsidRPr="00EC6E12" w14:paraId="7E409755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2EDB4C32" w14:textId="77777777" w:rsidR="00022372" w:rsidRDefault="00000000">
            <w:pPr>
              <w:jc w:val="center"/>
            </w:pPr>
            <w:r>
              <w:t>2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2E06E9D0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Противоречия между существующими методиками риск-анализа объекта исследования, оценивающими ИБ-риски по ущербу информационным активам, и необходимостью их совершенствования в части оценки и ранжирования рисков по тяжести технологических последствий подмены телесигналов положения выключателей, несанкционированного изменения уставок РЗА и недоступности EKRASCADA с учетом действующих мер защиты и неполноты сведений о возможности реализации угроз.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5A44AD9F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Создание аналитики проактивного риск-анализа нарушений ИБ объекта в части оценки возможности реализации угроз и тяжести их последствий для наблюдаемости, дистанционного управления и селективной работы РЗА подстанции с учетом полномочий нарушителя, защищенности АРМ и терминалов и целостности технологического обмена.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7C59D88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Аналитическое обеспечение проактивной оценки рисков нарушения ИБ объекта исследования при компрометации инженерного АРМ, подмене телесигнализации, изменении конфигураций РЗА и нарушении обмена MMS/GOOSE, включая реестр сценариев, шкалы оценки возможности реализации угроз и технологической тяжести последствий, матрицу текущего и остаточного риска.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3392C0C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В отличие от аналогов, тяжесть последствий оценивается по затронутой технологической функции: потеря доступа к EKRASCADA оценивается отдельно от отказа автономной РЗА; при ранжировании сценариев учитываются местное управление, резервирование функций и неопределенность экспертных оценок.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35B8055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Применимо в разнообразных задачах обоснования приоритетов защиты подстанций с цифровыми системами управления: защита команд телеуправления, инженерных АРМ и уставок РЗА, оценка риска искажения мнемосхемы при подмене телесигнала положения выключателя и принятия ошибочного решения при оперативных переключениях.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38570AA8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Подход к оценке риска по тяжести последствий для технологической функции может быть адаптирован для отраслей с аналогичной кибер-физической природой рисков (нефтегазовая отрасль, водоканалы, железнодорожная автоматика), а также за пределами ИБ — для совместного анализа рисков ИБ, надежности и промышленной безопасности.</w:t>
            </w:r>
          </w:p>
        </w:tc>
      </w:tr>
      <w:tr w:rsidR="00022372" w:rsidRPr="00EC6E12" w14:paraId="581A6441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0EFAA2F3" w14:textId="77777777" w:rsidR="00022372" w:rsidRDefault="00000000">
            <w:pPr>
              <w:jc w:val="center"/>
            </w:pPr>
            <w:r>
              <w:lastRenderedPageBreak/>
              <w:t>3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4049FC8C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Противоречия между существующими методиками управления (менеджмента) ИБ объекта исследования, выбирающими меры защиты по формальному соответствию требованиям, и необходимостью их совершенствования в части обоснования состава и очередности мер защиты ПТК EVICON и терминалов РЗА при ограниченном бюджете с учетом технологических ограничений — сохранения доступности управления и допустимых задержек передачи критичных технологических сообщений.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716A7081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Создание аналитики проактивного управления рисками нарушения ИБ объекта в части выбора мер — сегментации технологической сети, разграничения доступа к АРМ и терминалам, контроля целостности уставок РЗА, защиты сервисных подключений, пассивного мониторинга MMS/GOOSE — по ожидаемому снижению риска технологических последствий.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B6B096A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Аналитическое обеспечение проактивной регулировки рисков нарушения ИБ объекта исследования при выборе состава и очередности мер защиты инженерных АРМ, серверов с ПО EKRASCADA и терминалов РЗА, включая критерии остаточного риска и затрат и проверку совместимости мер с временными ограничениями технологического обмена.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7454E76B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В отличие от аналогов, варианты защиты сопоставляются одновременно по остаточному риску, стоимости и влиянию на доступность управления, а выполнение обязательных требований ИБ и сохранение допустимых задержек доставки GOOSE учитываются как ограничения выбора, а не как проверки после него.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783EF1BF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Применимо в распространенных случаях планирования защиты действующих подстанций при ограниченном бюджете: разделение ролей оператора и наладчика, согласование изменений уставок РЗА, контроль удаленного доступа, регистрация действий, проверка восстановления серверов и конфигураций.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21CD3296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Принцип выбора мер защиты с учетом технологических ограничений (время реакции, доступность управления) переносим на иные системы реального времени (АСУ ТП транспорта, медицинское оборудование), а также в управление рисками вне ИБ, где меры снижения риска сами влияют на работоспособность процесса.</w:t>
            </w:r>
          </w:p>
        </w:tc>
      </w:tr>
      <w:tr w:rsidR="00022372" w:rsidRPr="00EC6E12" w14:paraId="49908E3D" w14:textId="77777777">
        <w:trPr>
          <w:cantSplit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0785018F" w14:textId="77777777" w:rsidR="00022372" w:rsidRDefault="00000000">
            <w:pPr>
              <w:jc w:val="center"/>
            </w:pPr>
            <w:r>
              <w:t>4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4998CAA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Противоречия между имеющимися средствами автоматизации оценки и регулирования рисков, не связывающими результаты с технологическими последствиями и исходными допущениями, и необходимостью их совершенствования в части воспроизводимого пересчета ИБ-рисков АСУ ТП подстанции при изменении угроз, прав доступа и мер защиты для оценки эффективности предлагаемых технических решений.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61B614B2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Формирование средств автоматизации проактивного экспресс-анализа рисков и синтеза мер защиты ПТК EVICON подстанции 110/10 кВ в части ввода исходных данных, ведения реестра сценариев с технологическими последствиями, построения матрицы рисков и сравнения вариантов мер защиты; расчеты проверяются на контрольных примерах.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2144E0AF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Средства автоматизации предложенных методик оценки и регулирования рисков нарушения ИБ объекта и результаты оценки эффективности мер защиты на модельных сценариях подмены телесигнализации, изменения уставок РЗА и недоступности EKRASCADA: текущий и остаточный риск, сопоставление затрат, анализ чувствительности к исходным оценкам.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6A6C6241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В отличие от аналогов, созданные средства сохраняют связь сценария угрозы с активом и технологическим последствием, пересчитывают остаточный риск при изменении состава мер защиты и сравнивают варианты по единым критериям без повторного ручного расчета.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5B0238CB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Применимо в распространенных случаях проектной и эксплуатационной ИБ-деятельности: подготовка обоснований мер ИБ, сравнение вариантов защиты АСУ ТП и РЗА, согласование приоритетов с эксплуатационными подразделениями, актуализация реестра рисков при изменении конфигурации подстанции.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7F49B423" w14:textId="77777777" w:rsidR="00022372" w:rsidRPr="00EC6E12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Реализованная модель данных и алгоритмы пересчета рисков могут быть перенесены в параллельные предметные области для анализа и синтеза мер защиты иных кибер-физических объектов, а также использованы для воспроизводимого сравнения альтернативных методов оценки рисков на одинаковых сценариях.</w:t>
            </w:r>
          </w:p>
        </w:tc>
      </w:tr>
    </w:tbl>
    <w:p w14:paraId="49AD86D0" w14:textId="77777777" w:rsidR="009B210B" w:rsidRPr="00EC6E12" w:rsidRDefault="009B210B">
      <w:pPr>
        <w:rPr>
          <w:lang w:val="ru-RU"/>
        </w:rPr>
      </w:pPr>
    </w:p>
    <w:sectPr w:rsidR="009B210B" w:rsidRPr="00EC6E12" w:rsidSect="00034616">
      <w:pgSz w:w="23811" w:h="16838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150660">
    <w:abstractNumId w:val="8"/>
  </w:num>
  <w:num w:numId="2" w16cid:durableId="1070346437">
    <w:abstractNumId w:val="6"/>
  </w:num>
  <w:num w:numId="3" w16cid:durableId="510028409">
    <w:abstractNumId w:val="5"/>
  </w:num>
  <w:num w:numId="4" w16cid:durableId="238953612">
    <w:abstractNumId w:val="4"/>
  </w:num>
  <w:num w:numId="5" w16cid:durableId="2024356546">
    <w:abstractNumId w:val="7"/>
  </w:num>
  <w:num w:numId="6" w16cid:durableId="470251510">
    <w:abstractNumId w:val="3"/>
  </w:num>
  <w:num w:numId="7" w16cid:durableId="1525358707">
    <w:abstractNumId w:val="2"/>
  </w:num>
  <w:num w:numId="8" w16cid:durableId="1203714021">
    <w:abstractNumId w:val="1"/>
  </w:num>
  <w:num w:numId="9" w16cid:durableId="74430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72"/>
    <w:rsid w:val="00034616"/>
    <w:rsid w:val="0006063C"/>
    <w:rsid w:val="0015074B"/>
    <w:rsid w:val="0029639D"/>
    <w:rsid w:val="00326F90"/>
    <w:rsid w:val="009B210B"/>
    <w:rsid w:val="00AA1D8D"/>
    <w:rsid w:val="00AD2840"/>
    <w:rsid w:val="00B47730"/>
    <w:rsid w:val="00CB0664"/>
    <w:rsid w:val="00EC6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211C2"/>
  <w14:defaultImageDpi w14:val="300"/>
  <w15:docId w15:val="{BE86163C-D2AF-4899-9CE6-5C4AF7C8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Рекомендации (для основной массы ВКР) структур целеполагания в сфере обеспечения ИБ</dc:title>
  <dc:subject>Матрица целеполагания ВКР по информационной безопасности энергетической КИИ</dc:subject>
  <dc:creator>ADMIN</dc:creator>
  <cp:keywords>КИИ, информационная безопасность, АСУ ТП, РЗА</cp:keywords>
  <dc:description>generated by python-docx</dc:description>
  <cp:lastModifiedBy>ADMIN</cp:lastModifiedBy>
  <cp:revision>2</cp:revision>
  <dcterms:created xsi:type="dcterms:W3CDTF">2026-09-22T09:29:00Z</dcterms:created>
  <dcterms:modified xsi:type="dcterms:W3CDTF">2026-09-22T09:29:00Z</dcterms:modified>
  <cp:category/>
</cp:coreProperties>
</file>