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Практическая работа 2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Ревью материалов и трассировка требований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color w:val="000000"/>
          <w:sz w:val="24"/>
        </w:rPr>
        <w:t>Проект GameStore</w:t>
      </w:r>
    </w:p>
    <w:p>
      <w:pPr>
        <w:jc w:val="both"/>
      </w:pPr>
      <w:r>
        <w:t>Цель работы — проверить связность требований, сценариев, архитектуры, UML-моделей и тест-кейсов GameStore, зафиксировать недостатки и внести проверяемые исправления в репозиторий.</w:t>
      </w:r>
    </w:p>
    <w:p>
      <w:pPr>
        <w:pStyle w:val="Heading1"/>
      </w:pPr>
      <w:r>
        <w:t>Чек лист ревью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№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Контрольный вопрос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Результат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Обоснование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У каждого типа пользователя есть функции в требованиях?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Да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Функции гостя, покупателя, администратора, поддержки и ЮKassa отражены в FR-01–FR-22.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Каждое ключевое требование связано с архитектурным модулем?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Частично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Для отчетности была ссылка из архитектуры, но отсутствовали отдельное требование и модуль.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Классы диаграммы классов связаны с требованиями или сценариями?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Да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Основные классы отражают каталог, покупку, оплату, ключи, отзывы и возвраты.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Диаграмма последовательности соответствует пользовательскому сценарию?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Да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Диаграмма соответствует сценарию покупки игры с промокодом.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Каждый сценарий покрыт положительными и отрицательными тест-кейсами?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Нет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Не хватало успешного теста публикации игры и полной проверки обработки возврата.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Термины и статусы одинаково используются во всех документах?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Частично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Термины в целом согласованы, но правила срока возврата и модерации отзыва были неопределенными.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Все требования однозначны и проверяемы?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Нет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FR-15, FR-18, NFR-09 и NFR-10 не содержали измеримых критериев.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388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Для внешних интеграций и уведомлений указаны проверяемые результаты?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Частично</w:t>
            </w:r>
          </w:p>
        </w:tc>
        <w:tc>
          <w:tcPr>
            <w:tcW w:type="dxa" w:w="50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Оплата описана, но срок выдачи ключа и отправки уведомления не был задан.</w:t>
            </w:r>
          </w:p>
        </w:tc>
      </w:tr>
    </w:tbl>
    <w:p>
      <w:pPr>
        <w:spacing w:after="0"/>
      </w:pPr>
    </w:p>
    <w:p>
      <w:pPr>
        <w:pStyle w:val="Heading1"/>
      </w:pPr>
      <w:r>
        <w:t>Таблица замечаний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5"/>
              </w:rPr>
              <w:t>№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5"/>
              </w:rPr>
              <w:t>Где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5"/>
              </w:rPr>
              <w:t>Замечание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5"/>
              </w:rPr>
              <w:t>Как исправить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Функциональные требования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FR-15 не задает срок отправки ключа после оплаты.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Указать измеримый срок выдачи ключа и сохранения в библиотеке.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Функциональные требования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FR-18 не определяет срок и условие допустимости возврата.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Указать срок 14 календарных дней и условие, что ключ не активирован.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Нефункциональные требования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NFR-09 использует непроверяемое выражение «без специального обучения».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Заменить его ограничением на число действий при оформлении заказа.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Нефункциональные требования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NFR-10 не определяет браузеры и диапазон экранов.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Указать поддерживаемые браузеры и ширину экрана.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Архитектура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Админ-панель ссылается на отчеты, но отдельный модуль и требование отсутствуют.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Добавить FR-23 и модуль отчетности со связями.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Тест-кейсы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Для сценария администратора есть только отрицательная проверка дубля ключа.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Добавить положительный тест публикации игры с партией ключей.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7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Тест-кейсы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TC-12 проверяет создание возврата, но не решение менеджера и уведомление.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Добавить тесты одобрения возврата и отказа по сроку или активированному ключу.</w:t>
            </w:r>
          </w:p>
        </w:tc>
      </w:tr>
      <w:tr>
        <w:tc>
          <w:tcPr>
            <w:tcW w:type="dxa" w:w="50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Тест-кейсы</w:t>
            </w:r>
          </w:p>
        </w:tc>
        <w:tc>
          <w:tcPr>
            <w:tcW w:type="dxa" w:w="396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Ожидаемый результат TC-11 допускает два варианта публикации отзыва.</w:t>
            </w:r>
          </w:p>
        </w:tc>
        <w:tc>
          <w:tcPr>
            <w:tcW w:type="dxa" w:w="43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Зафиксировать единое правило публикации отзыва после модерации.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2 по программной инженерии</dc:title>
  <dc:subject>Ревью материалов и трассировка требований GameStore</dc:subject>
  <dc:creator>Желваков И. 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