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Практическая работа 2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Ревью материалов и трассировка требований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color w:val="000000"/>
          <w:sz w:val="24"/>
        </w:rPr>
        <w:t>Проект GameStore</w:t>
      </w:r>
    </w:p>
    <w:p>
      <w:pPr>
        <w:jc w:val="both"/>
      </w:pPr>
      <w:r>
        <w:t>Цель работы — проверить связность требований, сценариев, архитектуры, UML-моделей и тест-кейсов GameStore, зафиксировать недостатки и внести проверяемые исправления в репозиторий.</w:t>
      </w:r>
    </w:p>
    <w:p>
      <w:pPr>
        <w:pStyle w:val="Heading1"/>
      </w:pPr>
      <w:r>
        <w:t>Чек лист ревью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Контрольный вопрос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У каждого типа пользователя есть функции в требованиях?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Да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Функции гостя, покупателя, администратора, поддержки и ЮKassa отражены в FR-01–FR-22.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Каждое ключевое требование связано с архитектурным модулем?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Частично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Для отчетности была ссылка из архитектуры, но отсутствовали отдельное требование и модуль.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Классы диаграммы классов связаны с требованиями или сценариями?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Да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Основные классы отражают каталог, покупку, оплату, ключи, отзывы и возвраты.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Диаграмма последовательности соответствует пользовательскому сценарию?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Да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Диаграмма соответствует сценарию покупки игры с промокодом.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Каждый сценарий покрыт положительными и отрицательными тест-кейсами?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Нет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 хватало успешного теста публикации игры и полной проверки обработки возврата.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Термины и статусы одинаково используются во всех документах?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Частично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Термины в целом согласованы, но правила срока возврата и модерации отзыва были неопределенными.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Все требования однозначны и проверяемы?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Нет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FR-15, FR-18, NFR-09 и NFR-10 не содержали измеримых критериев.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Для внешних интеграций и уведомлений указаны проверяемые результаты?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Частично</w:t>
            </w:r>
          </w:p>
        </w:tc>
        <w:tc>
          <w:tcPr>
            <w:tcW w:type="dxa" w:w="50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Оплата описана, но срок выдачи ключа и отправки уведомления не был задан.</w:t>
            </w:r>
          </w:p>
        </w:tc>
      </w:tr>
    </w:tbl>
    <w:p>
      <w:pPr>
        <w:spacing w:after="0"/>
      </w:pPr>
    </w:p>
    <w:p>
      <w:pPr>
        <w:pStyle w:val="Heading1"/>
      </w:pPr>
      <w:r>
        <w:t>Таблица замечаний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Где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Замечание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исправить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Функциональные требования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FR-15 не задает срок отправки ключа после оплаты.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Указать измеримый срок выдачи ключа и сохранения в библиотеке.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Функциональные требования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FR-18 не определяет срок и условие допустимости возврата.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Указать срок 14 календарных дней и условие, что ключ не активирован.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Нефункциональные требования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NFR-09 использует непроверяемое выражение «без специального обучения».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Заменить его ограничением на число действий при оформлении заказа.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Нефункциональные требования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NFR-10 не определяет браузеры и диапазон экранов.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Указать поддерживаемые браузеры и ширину экрана.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Архитектура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Админ-панель ссылается на отчеты, но отдельный модуль и требование отсутствуют.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Добавить FR-23 и модуль отчетности со связями.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Тест-кейсы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Для сценария администратора есть только отрицательная проверка дубля ключа.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Добавить положительный тест публикации игры с партией ключей.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Тест-кейсы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TC-12 проверяет создание возврата, но не решение менеджера и уведомление.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Добавить тесты одобрения возврата и отказа по сроку или активированному ключу.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Тест-кейсы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Ожидаемый результат TC-11 допускает два варианта публикации отзыва.</w:t>
            </w:r>
          </w:p>
        </w:tc>
        <w:tc>
          <w:tcPr>
            <w:tcW w:type="dxa" w:w="37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Зафиксировать единое правило публикации отзыва после модерации.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Исправлено</w:t>
            </w:r>
          </w:p>
        </w:tc>
      </w:tr>
    </w:tbl>
    <w:p>
      <w:pPr>
        <w:spacing w:after="0"/>
      </w:pPr>
    </w:p>
    <w:p>
      <w:pPr>
        <w:pStyle w:val="Heading1"/>
      </w:pPr>
      <w:r>
        <w:t>Исправленные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не так</w:t>
            </w:r>
          </w:p>
        </w:tc>
        <w:tc>
          <w:tcPr>
            <w:tcW w:type="dxa" w:w="45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Стало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FR-15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Система должна отправить покупателю цифровой ключ на email и сохранить его в библиотеке.</w:t>
            </w:r>
          </w:p>
        </w:tc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 указан срок выполнения.</w:t>
            </w:r>
          </w:p>
        </w:tc>
        <w:tc>
          <w:tcPr>
            <w:tcW w:type="dxa" w:w="45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 позднее чем через 1 минуту после подтверждения оплаты система должна отправить покупателю цифровой ключ на email и сохранить его в библиотеке.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FR-18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Покупатель должен иметь возможность создать запрос на возврат средств по заказу.</w:t>
            </w:r>
          </w:p>
        </w:tc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 определены срок и условия возврата.</w:t>
            </w:r>
          </w:p>
        </w:tc>
        <w:tc>
          <w:tcPr>
            <w:tcW w:type="dxa" w:w="45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Покупатель должен иметь возможность создать запрос на возврат не позднее 14 календарных дней после оплаты, если цифровой ключ не был активирован.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NFR-09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Пользователь должен понимать путь покупки без специального обучения.</w:t>
            </w:r>
          </w:p>
        </w:tc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Формулировку нельзя объективно проверить.</w:t>
            </w:r>
          </w:p>
        </w:tc>
        <w:tc>
          <w:tcPr>
            <w:tcW w:type="dxa" w:w="45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Покупатель должен иметь возможность оформить заказ из корзины не более чем за 5 последовательных действий без обращения к инструкции.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NFR-10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Интерфейс должен корректно работать на компьютере и мобильном телефоне.</w:t>
            </w:r>
          </w:p>
        </w:tc>
        <w:tc>
          <w:tcPr>
            <w:tcW w:type="dxa" w:w="23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 указаны браузеры и размеры экрана.</w:t>
            </w:r>
          </w:p>
        </w:tc>
        <w:tc>
          <w:tcPr>
            <w:tcW w:type="dxa" w:w="45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Интерфейс должен корректно отображаться при ширине экрана от 360 до 1920 пикселей и поддерживать две последние основные версии Chrome, Firefox и Edge.</w:t>
            </w:r>
          </w:p>
        </w:tc>
      </w:tr>
    </w:tbl>
    <w:p>
      <w:pPr>
        <w:spacing w:after="0"/>
      </w:pPr>
    </w:p>
    <w:p>
      <w:pPr>
        <w:pStyle w:val="Heading1"/>
      </w:pPr>
      <w:r>
        <w:t>Матрица трассировки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Пользователь и сценарий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Тест кейс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FR-08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Покупатель; сценарий 1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Модуль промокодов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PromoCode, Order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TC-02, TC-03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FR-15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Покупатель; сценарий 1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Платежи, ключи, уведомления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DigitalKey, LibraryItem, Notification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TC-01, TC-17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FR-18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Покупатель и поддержка; сценарий 3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Возвраты и поддержка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RefundRequest, Order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TC-12, TC-14, TC-15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FR-19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Администратор; сценарий 2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Админ-панель и каталог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Admin, Game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TC-13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FR-20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Администратор; сценарий 2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Ключи и промокоды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Admin, DigitalKey, PromoCode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TC-09, TC-13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FR-23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Администратор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Модуль отчетности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Order, Payment, RefundRequest, DigitalKey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TC-16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NFR-10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Все пользователи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Веб-интерфейс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Интерфейсный уровень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TC-18</w:t>
            </w:r>
          </w:p>
        </w:tc>
      </w:tr>
    </w:tbl>
    <w:p>
      <w:pPr>
        <w:spacing w:after="0"/>
      </w:pPr>
    </w:p>
    <w:p>
      <w:pPr>
        <w:pStyle w:val="Heading1"/>
      </w:pPr>
      <w:r>
        <w:t>Вывод по пустым ячейкам</w:t>
      </w:r>
    </w:p>
    <w:p>
      <w:pPr>
        <w:jc w:val="both"/>
      </w:pPr>
      <w:r>
        <w:t>До исправлений в связях отсутствовали отдельный модуль отчетности, положительный тест сценария администратора и проверки полного цикла возврата. После добавления FR-23, модуля отчетности и тест-кейсов TC-13–TC-18 пустых ячеек в итоговой матрице нет. Это означает, что выбранные требования прослеживаются от пользователя и сценария до архитектурного модуля, модели данных и проверки.</w:t>
      </w:r>
    </w:p>
    <w:p>
      <w:pPr>
        <w:pStyle w:val="Heading1"/>
      </w:pPr>
      <w:r>
        <w:t>Итог ревью</w:t>
      </w:r>
    </w:p>
    <w:p>
      <w:pPr>
        <w:jc w:val="both"/>
      </w:pPr>
      <w:r>
        <w:t>Ревью выявило восемь улучшений. Четыре требования стали измеримыми, архитектура получила отсутствующий модуль отчетности, а тестовый набор дополнен положительными и отрицательными проверками административного сценария, возвратов, сроков выдачи ключа и совместимости интерфейса.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по программной инженерии</dc:title>
  <dc:subject>Ревью материалов и трассировка требований GameStore</dc:subject>
  <dc:creator>Желваков И.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