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B6E" w:rsidRDefault="0026093C" w:rsidP="0040488D">
      <w:pPr>
        <w:rPr>
          <w:shd w:val="clear" w:color="auto" w:fill="FFFFFF"/>
        </w:rPr>
      </w:pPr>
      <w:r>
        <w:rPr>
          <w:shd w:val="clear" w:color="auto" w:fill="FFFFFF"/>
        </w:rPr>
        <w:t>Em matéria de segurança, o jurista levanta algumas questões: ao dar consentimento, até que ponto os hospitais se certificam que têm medidas de segurança para tratar os meus dados? O que fazem ao dispositivo em fim de vida? Entregam a um determinado laboratório para investigação? Dentro do hospital ou não?</w:t>
      </w:r>
    </w:p>
    <w:p w:rsidR="0089301D" w:rsidRDefault="0089301D"/>
    <w:p w:rsidR="0089301D" w:rsidRDefault="0089301D">
      <w:hyperlink r:id="rId5" w:history="1">
        <w:r w:rsidRPr="005933EC">
          <w:rPr>
            <w:rStyle w:val="Hiperligao"/>
          </w:rPr>
          <w:t>https://www.ccip.pt/pt/newsletter-juris/1241-o-novo-regulamento-de-proteccao-de-dados-parte-vii</w:t>
        </w:r>
      </w:hyperlink>
    </w:p>
    <w:p w:rsidR="00117F22" w:rsidRDefault="00117F22"/>
    <w:p w:rsidR="00117F22" w:rsidRDefault="00595791">
      <w:r>
        <w:t>---</w:t>
      </w:r>
      <w:bookmarkStart w:id="0" w:name="_GoBack"/>
      <w:bookmarkEnd w:id="0"/>
    </w:p>
    <w:p w:rsidR="00117F22" w:rsidRDefault="00117F22" w:rsidP="00117F22">
      <w:r w:rsidRPr="00B004AC">
        <w:t xml:space="preserve">A estrutura heterogénea dos sistemas de registo clínico </w:t>
      </w:r>
      <w:proofErr w:type="spellStart"/>
      <w:r w:rsidRPr="00B004AC">
        <w:t>electrónico</w:t>
      </w:r>
      <w:proofErr w:type="spellEnd"/>
      <w:r w:rsidRPr="00B004AC">
        <w:t xml:space="preserve"> faz com que seja necessário um elevado nível de </w:t>
      </w:r>
      <w:proofErr w:type="spellStart"/>
      <w:r w:rsidRPr="00B004AC">
        <w:t>protecção</w:t>
      </w:r>
      <w:proofErr w:type="spellEnd"/>
      <w:r w:rsidRPr="00B004AC">
        <w:t xml:space="preserve"> e segurança devido à sensibilidade da informação pessoal e clínica.</w:t>
      </w:r>
    </w:p>
    <w:p w:rsidR="00117F22" w:rsidRDefault="00117F22" w:rsidP="00117F22">
      <w:r w:rsidRPr="00D42A86">
        <w:t xml:space="preserve">As preocupações de segurança derivam do facto de diferentes fontes terem requisitos tecnológicos diferentes e políticas estabelecidas também diferentes, e do resultado da sua integração poder não ser o esperado. As instituições podem partilhar informação relevante entre si, confiando mutuamente que a informação irá ser mantida confidencial e que será apenas usada para o propósito definido. Neste caso, a linha entre utilizadores internos e externos da rede não está muito bem definida. Pessoas de diferentes organizações podem aceder à informação de muitas outras redes e torna-se difícil gerir e auditar quem tem acesso a que informação e que mecanismos de segurança deverá ter todo o sistema.  Por outro lado, como os diferentes módulos têm de ser capazes de </w:t>
      </w:r>
      <w:proofErr w:type="spellStart"/>
      <w:r w:rsidRPr="00D42A86">
        <w:t>interoperar</w:t>
      </w:r>
      <w:proofErr w:type="spellEnd"/>
      <w:r w:rsidRPr="00D42A86">
        <w:t xml:space="preserve"> diferentes tecnologias, vulnerabilidades que poderiam ser controladas individualmente poderão ter comportamentos inesperados quando interligados. Outra questão importante, é o uso da linguagem e vocabulário quando se está a desenvolver as interfaces do utilizador. Se as regras não forem consideradas, informação ambígua e redundante poderá ser inserida e mantida o que irá </w:t>
      </w:r>
      <w:proofErr w:type="spellStart"/>
      <w:r w:rsidRPr="00D42A86">
        <w:t>afectar</w:t>
      </w:r>
      <w:proofErr w:type="spellEnd"/>
      <w:r w:rsidRPr="00D42A86">
        <w:t xml:space="preserve"> enormemente a eficácia e celeridade do processo de acesso e gestão da informação clínica. Para alem disto, o uso heterogéneo da informação tornará mais difícil a integração de todas as partes que constituem o sistema de registo clínico.</w:t>
      </w:r>
    </w:p>
    <w:p w:rsidR="000C30CD" w:rsidRDefault="000C30CD">
      <w:r>
        <w:br w:type="page"/>
      </w:r>
    </w:p>
    <w:p w:rsidR="000C30CD" w:rsidRDefault="000C30CD" w:rsidP="0040488D">
      <w:hyperlink r:id="rId6" w:history="1">
        <w:r w:rsidRPr="005933EC">
          <w:rPr>
            <w:rStyle w:val="Hiperligao"/>
          </w:rPr>
          <w:t>https://europa.eu/youreurope/citizens/consumers/telecoms-internet/data-protection-privacy/index_pt.htm</w:t>
        </w:r>
      </w:hyperlink>
    </w:p>
    <w:p w:rsidR="000C30CD" w:rsidRDefault="000C30CD" w:rsidP="0040488D">
      <w:pPr>
        <w:rPr>
          <w:rFonts w:ascii="Verdana" w:hAnsi="Verdana"/>
          <w:i/>
          <w:iCs/>
          <w:color w:val="333333"/>
          <w:sz w:val="17"/>
          <w:szCs w:val="17"/>
          <w:shd w:val="clear" w:color="auto" w:fill="FFFFFF"/>
        </w:rPr>
      </w:pPr>
      <w:proofErr w:type="spellStart"/>
      <w:proofErr w:type="gramStart"/>
      <w:r>
        <w:rPr>
          <w:rFonts w:ascii="Verdana" w:hAnsi="Verdana"/>
          <w:i/>
          <w:iCs/>
          <w:color w:val="333333"/>
          <w:sz w:val="17"/>
          <w:szCs w:val="17"/>
          <w:shd w:val="clear" w:color="auto" w:fill="FFFFFF"/>
        </w:rPr>
        <w:t>Actualização</w:t>
      </w:r>
      <w:proofErr w:type="spellEnd"/>
      <w:r>
        <w:rPr>
          <w:rFonts w:ascii="Verdana" w:hAnsi="Verdana"/>
          <w:i/>
          <w:iCs/>
          <w:color w:val="333333"/>
          <w:sz w:val="17"/>
          <w:szCs w:val="17"/>
          <w:shd w:val="clear" w:color="auto" w:fill="FFFFFF"/>
        </w:rPr>
        <w:t xml:space="preserve"> :</w:t>
      </w:r>
      <w:proofErr w:type="gramEnd"/>
      <w:r>
        <w:rPr>
          <w:rFonts w:ascii="Verdana" w:hAnsi="Verdana"/>
          <w:i/>
          <w:iCs/>
          <w:color w:val="333333"/>
          <w:sz w:val="17"/>
          <w:szCs w:val="17"/>
          <w:shd w:val="clear" w:color="auto" w:fill="FFFFFF"/>
        </w:rPr>
        <w:t xml:space="preserve"> 20/06/2017</w:t>
      </w:r>
    </w:p>
    <w:p w:rsidR="00BC6A44" w:rsidRPr="00BC6A44" w:rsidRDefault="00BC6A44" w:rsidP="00BC6A44">
      <w:pPr>
        <w:pBdr>
          <w:bottom w:val="single" w:sz="6" w:space="9" w:color="009933"/>
        </w:pBdr>
        <w:shd w:val="clear" w:color="auto" w:fill="FFFFFF"/>
        <w:spacing w:after="180" w:line="240" w:lineRule="auto"/>
        <w:textAlignment w:val="baseline"/>
        <w:outlineLvl w:val="0"/>
        <w:rPr>
          <w:rFonts w:ascii="Verdana" w:eastAsia="Times New Roman" w:hAnsi="Verdana" w:cs="Times New Roman"/>
          <w:color w:val="009933"/>
          <w:kern w:val="36"/>
          <w:sz w:val="67"/>
          <w:szCs w:val="67"/>
          <w:lang w:eastAsia="pt-PT"/>
        </w:rPr>
      </w:pPr>
      <w:r w:rsidRPr="00BC6A44">
        <w:rPr>
          <w:rFonts w:ascii="Verdana" w:eastAsia="Times New Roman" w:hAnsi="Verdana" w:cs="Times New Roman"/>
          <w:color w:val="009933"/>
          <w:kern w:val="36"/>
          <w:sz w:val="67"/>
          <w:szCs w:val="67"/>
          <w:lang w:eastAsia="pt-PT"/>
        </w:rPr>
        <w:t>Proteção dos dados e privacidade</w:t>
      </w:r>
    </w:p>
    <w:p w:rsidR="00BC6A44" w:rsidRPr="00BC6A44" w:rsidRDefault="00BC6A44" w:rsidP="00BC6A44">
      <w:pPr>
        <w:shd w:val="clear" w:color="auto" w:fill="FFFFFF"/>
        <w:spacing w:after="225" w:line="240" w:lineRule="auto"/>
        <w:textAlignment w:val="baseline"/>
        <w:outlineLvl w:val="1"/>
        <w:rPr>
          <w:rFonts w:ascii="Verdana" w:eastAsia="Times New Roman" w:hAnsi="Verdana" w:cs="Times New Roman"/>
          <w:color w:val="444444"/>
          <w:sz w:val="48"/>
          <w:szCs w:val="48"/>
          <w:lang w:eastAsia="pt-PT"/>
        </w:rPr>
      </w:pPr>
      <w:r w:rsidRPr="00BC6A44">
        <w:rPr>
          <w:rFonts w:ascii="Verdana" w:eastAsia="Times New Roman" w:hAnsi="Verdana" w:cs="Times New Roman"/>
          <w:color w:val="444444"/>
          <w:sz w:val="48"/>
          <w:szCs w:val="48"/>
          <w:lang w:eastAsia="pt-PT"/>
        </w:rPr>
        <w:t>Recolha e tratamento dos dados pessoais</w:t>
      </w:r>
    </w:p>
    <w:p w:rsidR="009E4D0B" w:rsidRPr="009E4D0B" w:rsidRDefault="009E4D0B" w:rsidP="009E4D0B">
      <w:pPr>
        <w:shd w:val="clear" w:color="auto" w:fill="FFFFFF"/>
        <w:spacing w:after="312" w:line="372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</w:pPr>
      <w:r w:rsidRPr="009E4D0B"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  <w:t>Ao abrigo das regras da UE em matéria de proteção de dados, os seus dados pessoais só podem ser tratados em determinadas circunstâncias e condições, nomeadamente:</w:t>
      </w:r>
    </w:p>
    <w:p w:rsidR="009E4D0B" w:rsidRPr="009E4D0B" w:rsidRDefault="009E4D0B" w:rsidP="009E4D0B">
      <w:pPr>
        <w:numPr>
          <w:ilvl w:val="0"/>
          <w:numId w:val="1"/>
        </w:numPr>
        <w:spacing w:after="0" w:line="432" w:lineRule="atLeast"/>
        <w:ind w:left="360"/>
        <w:textAlignment w:val="baseline"/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</w:pPr>
      <w:r w:rsidRPr="009E4D0B"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  <w:t>se tiver dado o seu consentimento (deve ser sempre informado da recolha dos seus dados)</w:t>
      </w:r>
    </w:p>
    <w:p w:rsidR="009E4D0B" w:rsidRPr="009E4D0B" w:rsidRDefault="009E4D0B" w:rsidP="009E4D0B">
      <w:pPr>
        <w:numPr>
          <w:ilvl w:val="0"/>
          <w:numId w:val="1"/>
        </w:numPr>
        <w:spacing w:after="0" w:line="432" w:lineRule="atLeast"/>
        <w:ind w:left="360"/>
        <w:textAlignment w:val="baseline"/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</w:pPr>
      <w:r w:rsidRPr="009E4D0B"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  <w:t>se o tratamento dos dados for necessário para celebrar um contrato, candidatar-se a um emprego ou pedir um empréstimo</w:t>
      </w:r>
    </w:p>
    <w:p w:rsidR="009E4D0B" w:rsidRPr="009E4D0B" w:rsidRDefault="009E4D0B" w:rsidP="009E4D0B">
      <w:pPr>
        <w:numPr>
          <w:ilvl w:val="0"/>
          <w:numId w:val="1"/>
        </w:numPr>
        <w:spacing w:after="0" w:line="432" w:lineRule="atLeast"/>
        <w:ind w:left="360"/>
        <w:textAlignment w:val="baseline"/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</w:pPr>
      <w:r w:rsidRPr="009E4D0B"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  <w:t>se o tratamento dos dados for uma obrigação legal</w:t>
      </w:r>
    </w:p>
    <w:p w:rsidR="009E4D0B" w:rsidRPr="009E4D0B" w:rsidRDefault="009E4D0B" w:rsidP="009E4D0B">
      <w:pPr>
        <w:numPr>
          <w:ilvl w:val="0"/>
          <w:numId w:val="1"/>
        </w:numPr>
        <w:spacing w:after="0" w:line="432" w:lineRule="atLeast"/>
        <w:ind w:left="360"/>
        <w:textAlignment w:val="baseline"/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</w:pPr>
      <w:r w:rsidRPr="009E4D0B"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  <w:t>se o tratamento for no seu «interesse vital», por exemplo, se tiver tido um acidente e o médico precisar de aceder aos seus dados médicos privados</w:t>
      </w:r>
    </w:p>
    <w:p w:rsidR="009E4D0B" w:rsidRPr="009E4D0B" w:rsidRDefault="009E4D0B" w:rsidP="009E4D0B">
      <w:pPr>
        <w:numPr>
          <w:ilvl w:val="0"/>
          <w:numId w:val="1"/>
        </w:numPr>
        <w:spacing w:after="0" w:line="432" w:lineRule="atLeast"/>
        <w:ind w:left="360"/>
        <w:textAlignment w:val="baseline"/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</w:pPr>
      <w:r w:rsidRPr="009E4D0B"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  <w:t>se o tratamento for necessário ao exercício de funções de interesse público ou de tarefas a realizar pelas autoridades administrativas, autoridades fiscais, polícia ou outras entidades públicas</w:t>
      </w:r>
    </w:p>
    <w:p w:rsidR="000C30CD" w:rsidRDefault="000C30CD" w:rsidP="0040488D"/>
    <w:p w:rsidR="00687BD3" w:rsidRPr="00687BD3" w:rsidRDefault="00687BD3" w:rsidP="00687BD3">
      <w:pPr>
        <w:shd w:val="clear" w:color="auto" w:fill="FFFFFF"/>
        <w:spacing w:after="0" w:line="372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</w:pPr>
      <w:r w:rsidRPr="00687BD3"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  <w:t>Os dados pessoais sobre a sua origem racial ou étnica, orientação sexual, opiniões políticas, religião ou convicções, filiação sindical ou estado de saúde </w:t>
      </w:r>
      <w:r w:rsidRPr="00687BD3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pt-PT"/>
        </w:rPr>
        <w:t>só podem ser tratados em casos específicos</w:t>
      </w:r>
      <w:r w:rsidRPr="00687BD3"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  <w:t> (por exemplo, se tiver dado explicitamente o seu consentimento ou se, ao abrigo do direito europeu ou do direito nacional, o tratamento for necessário por razões de interesse público).</w:t>
      </w:r>
    </w:p>
    <w:p w:rsidR="00687BD3" w:rsidRPr="00687BD3" w:rsidRDefault="00687BD3" w:rsidP="00687BD3">
      <w:pPr>
        <w:shd w:val="clear" w:color="auto" w:fill="FFFFFF"/>
        <w:spacing w:after="312" w:line="372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</w:pPr>
      <w:r w:rsidRPr="00687BD3"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  <w:t>Estas regras são aplicáveis tanto às entidades públicas como privadas.</w:t>
      </w:r>
    </w:p>
    <w:p w:rsidR="00641174" w:rsidRDefault="00641174" w:rsidP="00641174">
      <w:pPr>
        <w:pStyle w:val="Cabealho2"/>
        <w:shd w:val="clear" w:color="auto" w:fill="FFFFFF"/>
        <w:spacing w:before="0" w:beforeAutospacing="0" w:after="225" w:afterAutospacing="0"/>
        <w:textAlignment w:val="baseline"/>
        <w:rPr>
          <w:rFonts w:ascii="Verdana" w:hAnsi="Verdana"/>
          <w:b w:val="0"/>
          <w:bCs w:val="0"/>
          <w:color w:val="444444"/>
          <w:sz w:val="48"/>
          <w:szCs w:val="48"/>
        </w:rPr>
      </w:pPr>
      <w:r>
        <w:rPr>
          <w:rFonts w:ascii="Verdana" w:hAnsi="Verdana"/>
          <w:b w:val="0"/>
          <w:bCs w:val="0"/>
          <w:color w:val="444444"/>
          <w:sz w:val="48"/>
          <w:szCs w:val="48"/>
        </w:rPr>
        <w:t>Tratamento dos dados pessoais</w:t>
      </w:r>
    </w:p>
    <w:p w:rsidR="00687BD3" w:rsidRDefault="00687BD3" w:rsidP="009E4D0B">
      <w:pPr>
        <w:ind w:left="708" w:hanging="708"/>
      </w:pPr>
    </w:p>
    <w:p w:rsidR="009B4DF6" w:rsidRPr="009B4DF6" w:rsidRDefault="009B4DF6" w:rsidP="009B4DF6">
      <w:pPr>
        <w:shd w:val="clear" w:color="auto" w:fill="FFFFFF"/>
        <w:spacing w:after="312" w:line="372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</w:pPr>
      <w:r w:rsidRPr="009B4DF6"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  <w:lastRenderedPageBreak/>
        <w:t>O chamado «responsável pelo tratamento dos dados», que é a pessoa ou entidade que trata os seus dados, tem de cumprir as regras da UE aplicáveis ao tratamento e armazenamento dos seus dados pessoais:</w:t>
      </w:r>
    </w:p>
    <w:p w:rsidR="009B4DF6" w:rsidRPr="009B4DF6" w:rsidRDefault="009B4DF6" w:rsidP="009B4DF6">
      <w:pPr>
        <w:numPr>
          <w:ilvl w:val="0"/>
          <w:numId w:val="2"/>
        </w:numPr>
        <w:spacing w:after="0" w:line="432" w:lineRule="atLeast"/>
        <w:ind w:left="360"/>
        <w:textAlignment w:val="baseline"/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</w:pPr>
      <w:r w:rsidRPr="009B4DF6"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  <w:t>os seus dados só podem ser tratados para </w:t>
      </w:r>
      <w:r w:rsidRPr="009B4DF6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pt-PT"/>
        </w:rPr>
        <w:t>fins legítimos e claramente definidos</w:t>
      </w:r>
    </w:p>
    <w:p w:rsidR="009B4DF6" w:rsidRPr="009B4DF6" w:rsidRDefault="009B4DF6" w:rsidP="009B4DF6">
      <w:pPr>
        <w:numPr>
          <w:ilvl w:val="0"/>
          <w:numId w:val="2"/>
        </w:numPr>
        <w:spacing w:after="0" w:line="432" w:lineRule="atLeast"/>
        <w:ind w:left="360"/>
        <w:textAlignment w:val="baseline"/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</w:pPr>
      <w:r w:rsidRPr="009B4DF6"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  <w:t>não lhe podem solicitar demasiados dados</w:t>
      </w:r>
    </w:p>
    <w:p w:rsidR="009B4DF6" w:rsidRPr="009B4DF6" w:rsidRDefault="009B4DF6" w:rsidP="009B4DF6">
      <w:pPr>
        <w:numPr>
          <w:ilvl w:val="0"/>
          <w:numId w:val="2"/>
        </w:numPr>
        <w:spacing w:after="0" w:line="432" w:lineRule="atLeast"/>
        <w:ind w:left="360"/>
        <w:textAlignment w:val="baseline"/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</w:pPr>
      <w:r w:rsidRPr="009B4DF6"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  <w:t>os dados que permitam a sua identificação individual (por exemplo, nome ou dados de contacto) não podem ser conservados durante mais tempo do que o necessário</w:t>
      </w:r>
    </w:p>
    <w:p w:rsidR="009B4DF6" w:rsidRPr="009B4DF6" w:rsidRDefault="009B4DF6" w:rsidP="009B4DF6">
      <w:pPr>
        <w:numPr>
          <w:ilvl w:val="0"/>
          <w:numId w:val="3"/>
        </w:numPr>
        <w:spacing w:after="0" w:line="432" w:lineRule="atLeast"/>
        <w:ind w:left="360"/>
        <w:textAlignment w:val="baseline"/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</w:pPr>
      <w:r w:rsidRPr="009B4DF6"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  <w:t>deve poder </w:t>
      </w:r>
      <w:r w:rsidRPr="009B4DF6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pt-PT"/>
        </w:rPr>
        <w:t>corrigir, apagar ou bloquear</w:t>
      </w:r>
      <w:r w:rsidRPr="009B4DF6"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  <w:t> os seus dados pessoais</w:t>
      </w:r>
    </w:p>
    <w:p w:rsidR="009B4DF6" w:rsidRPr="009B4DF6" w:rsidRDefault="009B4DF6" w:rsidP="009B4DF6">
      <w:pPr>
        <w:numPr>
          <w:ilvl w:val="0"/>
          <w:numId w:val="3"/>
        </w:numPr>
        <w:spacing w:after="0" w:line="432" w:lineRule="atLeast"/>
        <w:ind w:left="360"/>
        <w:textAlignment w:val="baseline"/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</w:pPr>
      <w:r w:rsidRPr="009B4DF6"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  <w:t>os seus </w:t>
      </w:r>
      <w:r w:rsidRPr="009B4DF6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pt-PT"/>
        </w:rPr>
        <w:t>dados devem ser protegidos</w:t>
      </w:r>
      <w:r w:rsidRPr="009B4DF6"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  <w:t> contra a destruição, perda e alteração acidentais ou ilícitas e a divulgação</w:t>
      </w:r>
    </w:p>
    <w:p w:rsidR="009B4DF6" w:rsidRPr="009B4DF6" w:rsidRDefault="009B4DF6" w:rsidP="009B4DF6">
      <w:pPr>
        <w:shd w:val="clear" w:color="auto" w:fill="FFFFFF"/>
        <w:spacing w:after="0" w:line="372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</w:pPr>
      <w:r w:rsidRPr="009B4DF6"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  <w:t xml:space="preserve">Em caso de perda, roubo ou utilização ilícita de dados pessoais sensíveis </w:t>
      </w:r>
      <w:proofErr w:type="gramStart"/>
      <w:r w:rsidRPr="009B4DF6"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  <w:t>( </w:t>
      </w:r>
      <w:r w:rsidRPr="009B4DF6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pt-PT"/>
        </w:rPr>
        <w:t>violação</w:t>
      </w:r>
      <w:proofErr w:type="gramEnd"/>
      <w:r w:rsidRPr="009B4DF6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pt-PT"/>
        </w:rPr>
        <w:t xml:space="preserve"> de dados pessoais</w:t>
      </w:r>
      <w:r w:rsidRPr="009B4DF6"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  <w:t>), o fornecedor de dados deve comunicar esse facto à </w:t>
      </w:r>
      <w:r w:rsidRPr="009B4DF6">
        <w:rPr>
          <w:rFonts w:ascii="Verdana" w:eastAsia="Times New Roman" w:hAnsi="Verdana" w:cs="Times New Roman"/>
          <w:color w:val="0B90BF"/>
          <w:sz w:val="20"/>
          <w:szCs w:val="20"/>
          <w:bdr w:val="none" w:sz="0" w:space="0" w:color="auto" w:frame="1"/>
          <w:lang w:eastAsia="pt-PT"/>
        </w:rPr>
        <w:t>autoridade nacional para a proteção dos dados</w:t>
      </w:r>
      <w:r w:rsidRPr="009B4DF6">
        <w:rPr>
          <w:rFonts w:ascii="Verdana" w:eastAsia="Times New Roman" w:hAnsi="Verdana" w:cs="Times New Roman"/>
          <w:noProof/>
          <w:color w:val="0F72B8"/>
          <w:sz w:val="20"/>
          <w:szCs w:val="20"/>
          <w:lang w:eastAsia="pt-PT"/>
        </w:rPr>
        <w:drawing>
          <wp:inline distT="0" distB="0" distL="0" distR="0">
            <wp:extent cx="170180" cy="123190"/>
            <wp:effectExtent l="0" t="0" r="1270" b="0"/>
            <wp:docPr id="1" name="Imagem 1" descr="English">
              <a:hlinkClick xmlns:a="http://schemas.openxmlformats.org/drawingml/2006/main" r:id="rId7" tooltip="&quot;national data protection authorit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glish">
                      <a:hlinkClick r:id="rId7" tooltip="&quot;national data protection authorit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DF6"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  <w:t>. O responsável pelo tratamento dos dados deve também informá-lo se, na sequência de uma tal violação, existirem riscos relativamente aos seus dados pessoais ou à sua privacidade.</w:t>
      </w:r>
    </w:p>
    <w:p w:rsidR="00641174" w:rsidRDefault="00641174" w:rsidP="009E4D0B">
      <w:pPr>
        <w:ind w:left="708" w:hanging="708"/>
      </w:pPr>
    </w:p>
    <w:p w:rsidR="009B4DF6" w:rsidRDefault="009B4DF6" w:rsidP="009B4DF6">
      <w:pPr>
        <w:pStyle w:val="Cabealho2"/>
        <w:shd w:val="clear" w:color="auto" w:fill="FFFFFF"/>
        <w:spacing w:before="0" w:beforeAutospacing="0" w:after="225" w:afterAutospacing="0"/>
        <w:textAlignment w:val="baseline"/>
        <w:rPr>
          <w:rFonts w:ascii="Verdana" w:hAnsi="Verdana"/>
          <w:b w:val="0"/>
          <w:bCs w:val="0"/>
          <w:color w:val="444444"/>
          <w:sz w:val="48"/>
          <w:szCs w:val="48"/>
        </w:rPr>
      </w:pPr>
      <w:r>
        <w:rPr>
          <w:rFonts w:ascii="Verdana" w:hAnsi="Verdana"/>
          <w:b w:val="0"/>
          <w:bCs w:val="0"/>
          <w:color w:val="444444"/>
          <w:sz w:val="48"/>
          <w:szCs w:val="48"/>
        </w:rPr>
        <w:t>Privacidade nas comunicações eletrónicas (Internet e redes telefónicas móveis)</w:t>
      </w:r>
    </w:p>
    <w:p w:rsidR="009B4DF6" w:rsidRDefault="009B4DF6" w:rsidP="009E4D0B">
      <w:pPr>
        <w:ind w:left="708" w:hanging="708"/>
      </w:pPr>
    </w:p>
    <w:p w:rsidR="00E813D8" w:rsidRPr="00E813D8" w:rsidRDefault="00E813D8" w:rsidP="00E813D8">
      <w:pPr>
        <w:shd w:val="clear" w:color="auto" w:fill="FFFFFF"/>
        <w:spacing w:after="0" w:line="372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</w:pPr>
      <w:r w:rsidRPr="00E813D8"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  <w:t>As regras da UE relativas à proteção dos dados pessoais e da privacidade nas comunicações eletrónicas </w:t>
      </w:r>
      <w:r w:rsidRPr="00E813D8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pt-PT"/>
        </w:rPr>
        <w:t>abrangem a comunicação por Internet</w:t>
      </w:r>
      <w:r w:rsidRPr="00E813D8"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  <w:t> - como o acesso à Internet - e a comunicação através da </w:t>
      </w:r>
      <w:r w:rsidRPr="00E813D8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pt-PT"/>
        </w:rPr>
        <w:t>rede telefónica móvel e fixa</w:t>
      </w:r>
      <w:r w:rsidRPr="00E813D8"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  <w:t>.</w:t>
      </w:r>
    </w:p>
    <w:p w:rsidR="00E813D8" w:rsidRPr="00E813D8" w:rsidRDefault="00E813D8" w:rsidP="00E813D8">
      <w:pPr>
        <w:shd w:val="clear" w:color="auto" w:fill="FFFFFF"/>
        <w:spacing w:after="312" w:line="372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</w:pPr>
      <w:r w:rsidRPr="00E813D8"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  <w:t>O seu prestador de serviços deve cumprir as seguintes regras:</w:t>
      </w:r>
    </w:p>
    <w:p w:rsidR="00E813D8" w:rsidRPr="00E813D8" w:rsidRDefault="00E813D8" w:rsidP="00E813D8">
      <w:pPr>
        <w:numPr>
          <w:ilvl w:val="0"/>
          <w:numId w:val="4"/>
        </w:numPr>
        <w:spacing w:after="0" w:line="432" w:lineRule="atLeast"/>
        <w:ind w:left="360"/>
        <w:textAlignment w:val="baseline"/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</w:pPr>
      <w:r w:rsidRPr="00E813D8"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  <w:t>Comunicações confidenciais: sem a sua autorização, não deve ser possível a escuta, a instalação de dispositivos de escuta ou o armazenamento das comunicações.</w:t>
      </w:r>
    </w:p>
    <w:p w:rsidR="00E813D8" w:rsidRPr="00E813D8" w:rsidRDefault="00E813D8" w:rsidP="00E813D8">
      <w:pPr>
        <w:numPr>
          <w:ilvl w:val="0"/>
          <w:numId w:val="4"/>
        </w:numPr>
        <w:spacing w:after="0" w:line="432" w:lineRule="atLeast"/>
        <w:ind w:left="360"/>
        <w:textAlignment w:val="baseline"/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</w:pPr>
      <w:r w:rsidRPr="00E813D8"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  <w:t>Redes e serviços seguros: os prestadores de serviços de comunicações eletrónicas devem adotar medidas para garantir que os seus serviços são seguros.</w:t>
      </w:r>
    </w:p>
    <w:p w:rsidR="00E813D8" w:rsidRPr="00E813D8" w:rsidRDefault="00E813D8" w:rsidP="00E813D8">
      <w:pPr>
        <w:numPr>
          <w:ilvl w:val="0"/>
          <w:numId w:val="4"/>
        </w:numPr>
        <w:spacing w:after="0" w:line="432" w:lineRule="atLeast"/>
        <w:ind w:left="360"/>
        <w:textAlignment w:val="baseline"/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</w:pPr>
      <w:r w:rsidRPr="00E813D8"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  <w:lastRenderedPageBreak/>
        <w:t>Notificação de violações de dados: se um prestador de serviços detetar uma violação da segurança que conduza à </w:t>
      </w:r>
      <w:r w:rsidRPr="00E813D8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pt-PT"/>
        </w:rPr>
        <w:t>perda ou roubo de dados pessoais</w:t>
      </w:r>
      <w:r w:rsidRPr="00E813D8"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  <w:t>, deve comunicar esse facto às entidades públicas e, nalguns casos, aos assinantes e outras pessoas afetadas.</w:t>
      </w:r>
    </w:p>
    <w:p w:rsidR="00E813D8" w:rsidRPr="00E813D8" w:rsidRDefault="00E813D8" w:rsidP="00E813D8">
      <w:pPr>
        <w:numPr>
          <w:ilvl w:val="0"/>
          <w:numId w:val="4"/>
        </w:numPr>
        <w:spacing w:after="0" w:line="432" w:lineRule="atLeast"/>
        <w:ind w:left="360"/>
        <w:textAlignment w:val="baseline"/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</w:pPr>
      <w:r w:rsidRPr="00E813D8"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  <w:t>Dados de tráfego e de localização: estes </w:t>
      </w:r>
      <w:r w:rsidRPr="00E813D8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pt-PT"/>
        </w:rPr>
        <w:t>dados devem ser apagados ou tornados anónimos</w:t>
      </w:r>
      <w:r w:rsidRPr="00E813D8"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  <w:t> assim que deixarem de ser necessários para fins de comunicação ou de faturação, a menos que tenha concordado com a sua utilização para outros fins (ou se esta for necessária para efeitos de aplicação da lei).</w:t>
      </w:r>
    </w:p>
    <w:p w:rsidR="00E813D8" w:rsidRPr="00E813D8" w:rsidRDefault="00E813D8" w:rsidP="00E813D8">
      <w:pPr>
        <w:numPr>
          <w:ilvl w:val="0"/>
          <w:numId w:val="4"/>
        </w:numPr>
        <w:spacing w:after="0" w:line="432" w:lineRule="atLeast"/>
        <w:ind w:left="360"/>
        <w:textAlignment w:val="baseline"/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</w:pPr>
      <w:r w:rsidRPr="00E813D8"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  <w:t>«Spam»: </w:t>
      </w:r>
      <w:r w:rsidRPr="00E813D8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pt-PT"/>
        </w:rPr>
        <w:t>deve dar o seu consentimento</w:t>
      </w:r>
      <w:r w:rsidRPr="00E813D8"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  <w:t> antes de lhe serem enviadas comunicações comerciais não solicitadas (denominadas «spam»), nomeadamente mensagens de texto (SMS) e outras mensagens eletrónicas.</w:t>
      </w:r>
    </w:p>
    <w:p w:rsidR="00E813D8" w:rsidRPr="00E813D8" w:rsidRDefault="00E813D8" w:rsidP="00E813D8">
      <w:pPr>
        <w:numPr>
          <w:ilvl w:val="0"/>
          <w:numId w:val="4"/>
        </w:numPr>
        <w:spacing w:after="0" w:line="432" w:lineRule="atLeast"/>
        <w:ind w:left="360"/>
        <w:textAlignment w:val="baseline"/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</w:pPr>
      <w:r w:rsidRPr="00E813D8"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  <w:t>Listas públicas: deve </w:t>
      </w:r>
      <w:r w:rsidRPr="00E813D8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pt-PT"/>
        </w:rPr>
        <w:t>dar o seu consentimento prévio</w:t>
      </w:r>
      <w:r w:rsidRPr="00E813D8"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  <w:t> antes do seu número de telefone, endereço eletrónico e endereço postal poderem ser incluídos numa lista pública.</w:t>
      </w:r>
    </w:p>
    <w:p w:rsidR="00E813D8" w:rsidRPr="00E813D8" w:rsidRDefault="00E813D8" w:rsidP="00E813D8">
      <w:pPr>
        <w:numPr>
          <w:ilvl w:val="0"/>
          <w:numId w:val="4"/>
        </w:numPr>
        <w:spacing w:after="0" w:line="432" w:lineRule="atLeast"/>
        <w:ind w:left="360"/>
        <w:textAlignment w:val="baseline"/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</w:pPr>
      <w:r w:rsidRPr="00E813D8">
        <w:rPr>
          <w:rFonts w:ascii="Verdana" w:eastAsia="Times New Roman" w:hAnsi="Verdana" w:cs="Times New Roman"/>
          <w:color w:val="333333"/>
          <w:sz w:val="20"/>
          <w:szCs w:val="20"/>
          <w:lang w:eastAsia="pt-PT"/>
        </w:rPr>
        <w:t>Identificação de chamadas: deve ter a opção de ocultar o seu número de telefone quando faz uma chamada.</w:t>
      </w:r>
    </w:p>
    <w:p w:rsidR="009B4DF6" w:rsidRDefault="009B4DF6" w:rsidP="009E4D0B">
      <w:pPr>
        <w:ind w:left="708" w:hanging="708"/>
      </w:pPr>
    </w:p>
    <w:p w:rsidR="00E1414F" w:rsidRDefault="00E1414F" w:rsidP="00E1414F">
      <w:pPr>
        <w:pStyle w:val="Cabealho2"/>
        <w:shd w:val="clear" w:color="auto" w:fill="FFFFFF"/>
        <w:spacing w:before="0" w:beforeAutospacing="0" w:after="225" w:afterAutospacing="0"/>
        <w:textAlignment w:val="baseline"/>
        <w:rPr>
          <w:rFonts w:ascii="Verdana" w:hAnsi="Verdana"/>
          <w:b w:val="0"/>
          <w:bCs w:val="0"/>
          <w:color w:val="444444"/>
          <w:sz w:val="48"/>
          <w:szCs w:val="48"/>
        </w:rPr>
      </w:pPr>
      <w:r>
        <w:rPr>
          <w:rFonts w:ascii="Verdana" w:hAnsi="Verdana"/>
          <w:b w:val="0"/>
          <w:bCs w:val="0"/>
          <w:color w:val="444444"/>
          <w:sz w:val="48"/>
          <w:szCs w:val="48"/>
        </w:rPr>
        <w:t>Direito ao esquecimento</w:t>
      </w:r>
    </w:p>
    <w:p w:rsidR="00E1414F" w:rsidRDefault="00E1414F" w:rsidP="00E1414F">
      <w:pPr>
        <w:pStyle w:val="NormalWeb"/>
        <w:shd w:val="clear" w:color="auto" w:fill="FFFFFF"/>
        <w:spacing w:before="0" w:beforeAutospacing="0" w:after="0" w:afterAutospacing="0" w:line="372" w:lineRule="atLeast"/>
        <w:textAlignment w:val="baseline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Em certos casos, tem o direito de </w:t>
      </w:r>
      <w:r>
        <w:rPr>
          <w:rStyle w:val="Forte"/>
          <w:rFonts w:ascii="Verdana" w:hAnsi="Verdana"/>
          <w:color w:val="333333"/>
          <w:sz w:val="20"/>
          <w:szCs w:val="20"/>
          <w:bdr w:val="none" w:sz="0" w:space="0" w:color="auto" w:frame="1"/>
        </w:rPr>
        <w:t>exigir que os responsáveis pelo tratamento dos dados corrijam, apaguem ou bloqueiem dados sobre si que estejam incorretos</w:t>
      </w:r>
      <w:r>
        <w:rPr>
          <w:rFonts w:ascii="Verdana" w:hAnsi="Verdana"/>
          <w:color w:val="333333"/>
          <w:sz w:val="20"/>
          <w:szCs w:val="20"/>
        </w:rPr>
        <w:t> Trata-se do chamado «direito ao esquecimento».</w:t>
      </w:r>
    </w:p>
    <w:p w:rsidR="0089301D" w:rsidRDefault="0089301D">
      <w:r>
        <w:br w:type="page"/>
      </w:r>
    </w:p>
    <w:p w:rsidR="00E1414F" w:rsidRDefault="00AD5F76" w:rsidP="00823CDF">
      <w:pPr>
        <w:pStyle w:val="Subttulo"/>
      </w:pPr>
      <w:proofErr w:type="spellStart"/>
      <w:r w:rsidRPr="00AD5F76">
        <w:lastRenderedPageBreak/>
        <w:t>Ale_Auad_A</w:t>
      </w:r>
      <w:proofErr w:type="spellEnd"/>
      <w:r w:rsidRPr="00AD5F76">
        <w:t xml:space="preserve"> importância dos Sistemas de </w:t>
      </w:r>
      <w:proofErr w:type="spellStart"/>
      <w:r w:rsidRPr="00AD5F76">
        <w:t>Informacao</w:t>
      </w:r>
      <w:proofErr w:type="spellEnd"/>
      <w:r w:rsidRPr="00AD5F76">
        <w:t xml:space="preserve"> em Saúde - Estudo de caso USF </w:t>
      </w:r>
      <w:proofErr w:type="spellStart"/>
      <w:r w:rsidRPr="00AD5F76">
        <w:t>CelaSaúde</w:t>
      </w:r>
      <w:proofErr w:type="spellEnd"/>
      <w:r w:rsidRPr="00AD5F76">
        <w:t xml:space="preserve"> Final</w:t>
      </w:r>
      <w:r>
        <w:t>.pdf</w:t>
      </w:r>
    </w:p>
    <w:p w:rsidR="00AD5F76" w:rsidRDefault="00CB420F" w:rsidP="00823CDF">
      <w:pPr>
        <w:pStyle w:val="Cabealho4"/>
      </w:pPr>
      <w:r w:rsidRPr="00CB420F">
        <w:t xml:space="preserve">A importância dos Sistemas de Informação em Saúde – Estudo de caso na USF </w:t>
      </w:r>
      <w:proofErr w:type="spellStart"/>
      <w:r w:rsidRPr="00CB420F">
        <w:t>CelaSaúde</w:t>
      </w:r>
      <w:proofErr w:type="spellEnd"/>
    </w:p>
    <w:p w:rsidR="00823CDF" w:rsidRDefault="00823CDF" w:rsidP="00823CDF">
      <w:r>
        <w:t xml:space="preserve">Os SI podem fazer uso de uma grande diversidade de tecnologias. Quanto ao </w:t>
      </w:r>
    </w:p>
    <w:p w:rsidR="00823CDF" w:rsidRDefault="00823CDF" w:rsidP="00823CDF">
      <w:r>
        <w:t xml:space="preserve">aspeto da interface com o utilizador, podem ser aplicações em modo texto, gráficas ou </w:t>
      </w:r>
    </w:p>
    <w:p w:rsidR="00823CDF" w:rsidRDefault="00823CDF" w:rsidP="00823CDF">
      <w:r>
        <w:t xml:space="preserve">ambiente Web. A estrutura destes sistemas depende da dimensão da instituição e da </w:t>
      </w:r>
    </w:p>
    <w:p w:rsidR="00823CDF" w:rsidRDefault="00823CDF" w:rsidP="00823CDF">
      <w:r>
        <w:t xml:space="preserve">qualidade do sistema. Podem ser: </w:t>
      </w:r>
    </w:p>
    <w:p w:rsidR="00823CDF" w:rsidRDefault="00823CDF" w:rsidP="00823CDF">
      <w:r>
        <w:t> Stand-</w:t>
      </w:r>
      <w:proofErr w:type="spellStart"/>
      <w:r>
        <w:t>alone</w:t>
      </w:r>
      <w:proofErr w:type="spellEnd"/>
      <w:r>
        <w:t xml:space="preserve"> - funcionam apenas num computador. </w:t>
      </w:r>
    </w:p>
    <w:p w:rsidR="00823CDF" w:rsidRDefault="00823CDF" w:rsidP="00823CDF">
      <w:r>
        <w:t xml:space="preserve"> Cliente-servidor - a aplicação é instalada em vários computadores, mas a </w:t>
      </w:r>
    </w:p>
    <w:p w:rsidR="00823CDF" w:rsidRDefault="00823CDF" w:rsidP="00823CDF">
      <w:r>
        <w:t xml:space="preserve">base de dados encontra-se num único servidor. </w:t>
      </w:r>
    </w:p>
    <w:p w:rsidR="00823CDF" w:rsidRDefault="00823CDF" w:rsidP="00823CDF">
      <w:r>
        <w:t xml:space="preserve"> Em ambiente Web - a aplicação é um conjunto de páginas às quais se pode </w:t>
      </w:r>
    </w:p>
    <w:p w:rsidR="00823CDF" w:rsidRDefault="00823CDF" w:rsidP="00823CDF">
      <w:r>
        <w:t xml:space="preserve">aceder de vários computadores, estando assim dados e aplicação no </w:t>
      </w:r>
    </w:p>
    <w:p w:rsidR="00823CDF" w:rsidRDefault="00823CDF" w:rsidP="00823CDF">
      <w:r>
        <w:t xml:space="preserve">servidor. </w:t>
      </w:r>
    </w:p>
    <w:p w:rsidR="00823CDF" w:rsidRDefault="00823CDF" w:rsidP="00823CDF">
      <w:r>
        <w:t xml:space="preserve"> De acesso remoto - utilizando </w:t>
      </w:r>
      <w:proofErr w:type="spellStart"/>
      <w:r>
        <w:t>remote</w:t>
      </w:r>
      <w:proofErr w:type="spellEnd"/>
      <w:r>
        <w:t xml:space="preserve">-desktops 1 ou </w:t>
      </w:r>
      <w:proofErr w:type="spellStart"/>
      <w:r>
        <w:t>thin-clients</w:t>
      </w:r>
      <w:proofErr w:type="spellEnd"/>
      <w:r>
        <w:t xml:space="preserve"> 2 para </w:t>
      </w:r>
    </w:p>
    <w:p w:rsidR="00823CDF" w:rsidRDefault="00823CDF" w:rsidP="00823CDF">
      <w:r>
        <w:t>aceder a ambientes que se encontram no servidor</w:t>
      </w:r>
      <w:r>
        <w:t>.</w:t>
      </w:r>
    </w:p>
    <w:p w:rsidR="00823CDF" w:rsidRDefault="003414D4" w:rsidP="00823CDF">
      <w:r>
        <w:rPr>
          <w:noProof/>
        </w:rPr>
        <w:drawing>
          <wp:inline distT="0" distB="0" distL="0" distR="0" wp14:anchorId="0C144025" wp14:editId="1ECD1F43">
            <wp:extent cx="5146431" cy="391923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5831" cy="392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F9" w:rsidRDefault="005C38A8" w:rsidP="003F3BF9">
      <w:r w:rsidRPr="005C38A8">
        <w:t>CAPÍTULO 4. SISTEMAS DE INFORMAÇÃO UTILIZADOS NA USF CELASAÚD</w:t>
      </w:r>
      <w:r>
        <w:t>E</w:t>
      </w:r>
    </w:p>
    <w:p w:rsidR="00581101" w:rsidRDefault="00581101">
      <w:r>
        <w:br w:type="page"/>
      </w:r>
    </w:p>
    <w:p w:rsidR="00581101" w:rsidRDefault="00581101" w:rsidP="00581101">
      <w:pPr>
        <w:pStyle w:val="Subttulo"/>
      </w:pPr>
      <w:r w:rsidRPr="00581101">
        <w:lastRenderedPageBreak/>
        <w:t>DiogoSebe_SistemaInformacaoEmergenciaMedica</w:t>
      </w:r>
      <w:r>
        <w:t>.pdf</w:t>
      </w:r>
    </w:p>
    <w:p w:rsidR="00581101" w:rsidRDefault="00581101" w:rsidP="003F3BF9">
      <w:r w:rsidRPr="00581101">
        <w:t xml:space="preserve">Plataforma de Dados da Saúde - PDS . . . . . . . . . . . . . . . </w:t>
      </w:r>
      <w:proofErr w:type="gramStart"/>
      <w:r w:rsidRPr="00581101">
        <w:t>. . . .</w:t>
      </w:r>
      <w:proofErr w:type="gramEnd"/>
      <w:r w:rsidRPr="00581101">
        <w:t xml:space="preserve"> 10</w:t>
      </w:r>
    </w:p>
    <w:p w:rsidR="0034232C" w:rsidRDefault="0034232C" w:rsidP="003F3BF9">
      <w:proofErr w:type="gramStart"/>
      <w:r w:rsidRPr="0034232C">
        <w:t>APlataformadeDadosdaSaúdeéumsistemawebdepartilhadedados,queexistedesdeMaio</w:t>
      </w:r>
      <w:proofErr w:type="gramEnd"/>
      <w:r w:rsidRPr="0034232C">
        <w:t xml:space="preserve"> de 2012, a nível nacional e permite o registo e partilha de informação clínica. Esta informação pode ser acedida pelos diferentes agentes da prestação de cuidados (utentes, </w:t>
      </w:r>
      <w:proofErr w:type="spellStart"/>
      <w:r w:rsidRPr="0034232C">
        <w:t>proﬁssionais</w:t>
      </w:r>
      <w:proofErr w:type="spellEnd"/>
      <w:r w:rsidRPr="0034232C">
        <w:t xml:space="preserve"> do SNS edeforadoSNS</w:t>
      </w:r>
      <w:proofErr w:type="gramStart"/>
      <w:r w:rsidRPr="0034232C">
        <w:t>),atravésdonúmerodeutentedoSNS.Oacessoaestesdadosérealizadoatravés</w:t>
      </w:r>
      <w:proofErr w:type="gramEnd"/>
      <w:r w:rsidRPr="0034232C">
        <w:t xml:space="preserve"> de Portais, a partir das instituições locais onde são guardados.</w:t>
      </w:r>
    </w:p>
    <w:p w:rsidR="0034232C" w:rsidRDefault="00C47C04" w:rsidP="003F3BF9">
      <w:r w:rsidRPr="00C47C04">
        <w:t xml:space="preserve">Os portais de interesse fundamental são: o Portal do Utente, onde cada utente pode registar os </w:t>
      </w:r>
      <w:proofErr w:type="gramStart"/>
      <w:r w:rsidRPr="00C47C04">
        <w:t>seusdadosdesaúde,agendarconsultas</w:t>
      </w:r>
      <w:proofErr w:type="gramEnd"/>
      <w:r w:rsidRPr="00C47C04">
        <w:t xml:space="preserve">,comunicarcomoseumédico,etc;oPortaldoProﬁssional, que permite aos </w:t>
      </w:r>
      <w:proofErr w:type="spellStart"/>
      <w:r w:rsidRPr="00C47C04">
        <w:t>proﬁssionais</w:t>
      </w:r>
      <w:proofErr w:type="spellEnd"/>
      <w:r w:rsidRPr="00C47C04">
        <w:t xml:space="preserve"> de saúde o acesso aos dados clínicos dos doentes, armazenados nos servidores de cerca de 400 instituições e de cinco bases de dados centrais, cobrindo todos os cuidados de saúde primários e todos os hospitais públicos.</w:t>
      </w:r>
    </w:p>
    <w:p w:rsidR="00C47C04" w:rsidRDefault="00C47C04" w:rsidP="00C47C04">
      <w:r>
        <w:t xml:space="preserve">Paralelamente, foi desenvolvido um projeto a nível europeu de </w:t>
      </w:r>
      <w:proofErr w:type="spellStart"/>
      <w:r>
        <w:t>eSaúde</w:t>
      </w:r>
      <w:proofErr w:type="spellEnd"/>
      <w:r>
        <w:t xml:space="preserve">: o </w:t>
      </w:r>
      <w:proofErr w:type="spellStart"/>
      <w:r>
        <w:t>epSOS</w:t>
      </w:r>
      <w:proofErr w:type="spellEnd"/>
      <w:r>
        <w:t>.</w:t>
      </w:r>
    </w:p>
    <w:p w:rsidR="00C47C04" w:rsidRDefault="00C47C04" w:rsidP="00C47C04">
      <w:r>
        <w:t xml:space="preserve">“O </w:t>
      </w:r>
      <w:proofErr w:type="spellStart"/>
      <w:r>
        <w:t>epSOS</w:t>
      </w:r>
      <w:proofErr w:type="spellEnd"/>
      <w:r>
        <w:t xml:space="preserve"> pretende contribuir para a melhoria da qualidade dos cuidados de saúde prestados aos cidadãos europeus quando estão fora do seu país, permitindo que os </w:t>
      </w:r>
      <w:proofErr w:type="spellStart"/>
      <w:r>
        <w:t>proﬁssionais</w:t>
      </w:r>
      <w:proofErr w:type="spellEnd"/>
      <w:r>
        <w:t xml:space="preserve"> de saúde dos outros países participantes acedam à sua informação clínica, residente no seu país de origem [20].”</w:t>
      </w:r>
    </w:p>
    <w:p w:rsidR="00C47C04" w:rsidRDefault="00C47C04" w:rsidP="00C47C04">
      <w:r>
        <w:t>Oobjetivoprincipalresume-</w:t>
      </w:r>
      <w:proofErr w:type="gramStart"/>
      <w:r>
        <w:t>seàpartilhatransfronteiriçadeinformaçãoclínicadoutente(</w:t>
      </w:r>
      <w:proofErr w:type="gramEnd"/>
      <w:r>
        <w:t xml:space="preserve">seja como turista, em viagem de negócios, estudantes ou trabalhadores nas zonas transfronteiriças), entre os países envolvidos no projeto, dos quais Portugal já faz parte. A informação que pode ser acedida divide-se em: Resumo Clínico (quer por Médicos, quer por </w:t>
      </w:r>
      <w:proofErr w:type="gramStart"/>
      <w:r>
        <w:t>Utentes )</w:t>
      </w:r>
      <w:proofErr w:type="gramEnd"/>
      <w:r>
        <w:t>, Prescrição Eletrónica, relatório dos cuidados de saúde prestados (HCER) e relatórios de medicação (MRO).</w:t>
      </w:r>
    </w:p>
    <w:p w:rsidR="0034232C" w:rsidRDefault="0034232C" w:rsidP="003F3BF9"/>
    <w:p w:rsidR="0034232C" w:rsidRDefault="0034232C" w:rsidP="003F3BF9">
      <w:r w:rsidRPr="0034232C">
        <w:t xml:space="preserve">Tecnologias Existentes . . . . . . . . . . . . . . . . . . . . . . . . . . . </w:t>
      </w:r>
      <w:proofErr w:type="gramStart"/>
      <w:r w:rsidRPr="0034232C">
        <w:t>. . . .</w:t>
      </w:r>
      <w:proofErr w:type="gramEnd"/>
      <w:r w:rsidRPr="0034232C">
        <w:t xml:space="preserve"> 14</w:t>
      </w:r>
    </w:p>
    <w:p w:rsidR="00CE39D8" w:rsidRDefault="00C21B07" w:rsidP="003F3BF9">
      <w:proofErr w:type="gramStart"/>
      <w:r w:rsidRPr="00C21B07">
        <w:t>Nassubsecçõesseguintesserãoabordadosaspetosdasegurançaembasededados,assimcomo</w:t>
      </w:r>
      <w:proofErr w:type="gramEnd"/>
      <w:r w:rsidRPr="00C21B07">
        <w:t xml:space="preserve"> </w:t>
      </w:r>
      <w:proofErr w:type="spellStart"/>
      <w:r w:rsidRPr="00C21B07">
        <w:t>algumassoluções</w:t>
      </w:r>
      <w:proofErr w:type="spellEnd"/>
      <w:r w:rsidRPr="00C21B07">
        <w:t xml:space="preserve"> e tecnologias </w:t>
      </w:r>
      <w:proofErr w:type="spellStart"/>
      <w:r w:rsidRPr="00C21B07">
        <w:t>existentesque</w:t>
      </w:r>
      <w:proofErr w:type="spellEnd"/>
      <w:r w:rsidRPr="00C21B07">
        <w:t xml:space="preserve"> </w:t>
      </w:r>
      <w:proofErr w:type="spellStart"/>
      <w:r w:rsidRPr="00C21B07">
        <w:t>ajudama</w:t>
      </w:r>
      <w:proofErr w:type="spellEnd"/>
      <w:r w:rsidRPr="00C21B07">
        <w:t xml:space="preserve"> combater </w:t>
      </w:r>
      <w:proofErr w:type="spellStart"/>
      <w:r w:rsidRPr="00C21B07">
        <w:t>oacessoindevidoa</w:t>
      </w:r>
      <w:proofErr w:type="spellEnd"/>
      <w:r w:rsidRPr="00C21B07">
        <w:t xml:space="preserve"> informação sensível.</w:t>
      </w:r>
    </w:p>
    <w:p w:rsidR="00C21B07" w:rsidRDefault="00C21B07" w:rsidP="003F3BF9">
      <w:proofErr w:type="spellStart"/>
      <w:r w:rsidRPr="00C21B07">
        <w:t>SegurançaemBasedeDados</w:t>
      </w:r>
      <w:proofErr w:type="spellEnd"/>
      <w:r>
        <w:t>:</w:t>
      </w:r>
    </w:p>
    <w:p w:rsidR="00D4546F" w:rsidRDefault="00D4546F" w:rsidP="00D4546F">
      <w:r>
        <w:t xml:space="preserve">A maior preocupação que se coloca num projeto de Tecnologias de Informação é o nível de segurança na proteção de informação </w:t>
      </w:r>
      <w:proofErr w:type="spellStart"/>
      <w:r>
        <w:t>conﬁdencial</w:t>
      </w:r>
      <w:proofErr w:type="spellEnd"/>
      <w:r>
        <w:t xml:space="preserve"> dos utilizadores. Quando se fala em segurança </w:t>
      </w:r>
      <w:proofErr w:type="gramStart"/>
      <w:r>
        <w:t>datransferênciadedados,éfrequentequeocontextoemquetaltransferênciaocorresejaemredes</w:t>
      </w:r>
      <w:proofErr w:type="gramEnd"/>
      <w:r>
        <w:t xml:space="preserve"> pouco seguras e de baixa </w:t>
      </w:r>
      <w:proofErr w:type="spellStart"/>
      <w:r>
        <w:t>conﬁança</w:t>
      </w:r>
      <w:proofErr w:type="spellEnd"/>
      <w:r>
        <w:t>. Existem quatro tipos de ameaças que podem ser exploradas indevidamente [21]:</w:t>
      </w:r>
    </w:p>
    <w:p w:rsidR="00D4546F" w:rsidRDefault="00D4546F" w:rsidP="00D4546F">
      <w:r>
        <w:t>• Abuso de privilégios: ocorre quando os utilizadores dispõem de mais privilégios, sobre a base de dados, do que realmente necessitam.</w:t>
      </w:r>
    </w:p>
    <w:p w:rsidR="00D4546F" w:rsidRDefault="00D4546F" w:rsidP="00D4546F">
      <w:r>
        <w:t>• Abuso legitimo de privilégios: este tipo de abusos acontece quando o utilizador tem privilégios de acesso legítimos, mas intencionalmente explora esses privilégios para aceder a informação de forma maliciosa.</w:t>
      </w:r>
    </w:p>
    <w:p w:rsidR="00D4546F" w:rsidRDefault="00D4546F" w:rsidP="00D4546F">
      <w:r>
        <w:t>• Promoção de privilégios: as vulnerabilidades de software e os erros existentes na base de dadossãoexploradosdemaneiraaelevarosprivilégiosdotransgressorpermitindo-oaceder a informação de níveis superiores de segurança.</w:t>
      </w:r>
    </w:p>
    <w:p w:rsidR="00B14793" w:rsidRDefault="00D4546F" w:rsidP="00B14793">
      <w:r>
        <w:t>• Vulnerabilidades do sistema operativo: o transgressor exploras certas vulnerabilidades do SO de forma a ganhar acesso não-autorizado à base de dados.</w:t>
      </w:r>
    </w:p>
    <w:sectPr w:rsidR="00B14793" w:rsidSect="00D26779"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13CBE"/>
    <w:multiLevelType w:val="multilevel"/>
    <w:tmpl w:val="E4CE5C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CD3980"/>
    <w:multiLevelType w:val="multilevel"/>
    <w:tmpl w:val="552864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D2946"/>
    <w:multiLevelType w:val="multilevel"/>
    <w:tmpl w:val="586457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38757E"/>
    <w:multiLevelType w:val="multilevel"/>
    <w:tmpl w:val="8408CF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3C"/>
    <w:rsid w:val="000C30CD"/>
    <w:rsid w:val="00117F22"/>
    <w:rsid w:val="0026093C"/>
    <w:rsid w:val="003414D4"/>
    <w:rsid w:val="0034232C"/>
    <w:rsid w:val="003F3BF9"/>
    <w:rsid w:val="0040488D"/>
    <w:rsid w:val="004C7515"/>
    <w:rsid w:val="00581101"/>
    <w:rsid w:val="00595791"/>
    <w:rsid w:val="005C38A8"/>
    <w:rsid w:val="006050D9"/>
    <w:rsid w:val="00641174"/>
    <w:rsid w:val="00687BD3"/>
    <w:rsid w:val="00756B6E"/>
    <w:rsid w:val="00823CDF"/>
    <w:rsid w:val="0089301D"/>
    <w:rsid w:val="009B4DF6"/>
    <w:rsid w:val="009E4D0B"/>
    <w:rsid w:val="00A41B2A"/>
    <w:rsid w:val="00AB76B7"/>
    <w:rsid w:val="00AD5F76"/>
    <w:rsid w:val="00B004AC"/>
    <w:rsid w:val="00B14793"/>
    <w:rsid w:val="00BC6A44"/>
    <w:rsid w:val="00C21B07"/>
    <w:rsid w:val="00C47C04"/>
    <w:rsid w:val="00CB420F"/>
    <w:rsid w:val="00CE39D8"/>
    <w:rsid w:val="00D26779"/>
    <w:rsid w:val="00D42A86"/>
    <w:rsid w:val="00D4546F"/>
    <w:rsid w:val="00D72FE7"/>
    <w:rsid w:val="00E1414F"/>
    <w:rsid w:val="00E813D8"/>
    <w:rsid w:val="00F274FC"/>
    <w:rsid w:val="00F3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7A762"/>
  <w15:chartTrackingRefBased/>
  <w15:docId w15:val="{E924B611-47DB-4653-9452-6B23D728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ter"/>
    <w:uiPriority w:val="9"/>
    <w:qFormat/>
    <w:rsid w:val="00BC6A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link w:val="Cabealho2Carter"/>
    <w:uiPriority w:val="9"/>
    <w:qFormat/>
    <w:rsid w:val="00BC6A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823C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823C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C30C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C30CD"/>
    <w:rPr>
      <w:color w:val="808080"/>
      <w:shd w:val="clear" w:color="auto" w:fill="E6E6E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BC6A44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C6A44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9E4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687BD3"/>
    <w:rPr>
      <w:b/>
      <w:bCs/>
    </w:rPr>
  </w:style>
  <w:style w:type="character" w:customStyle="1" w:styleId="nolink">
    <w:name w:val="nolink"/>
    <w:basedOn w:val="Tipodeletrapredefinidodopargrafo"/>
    <w:rsid w:val="009B4DF6"/>
  </w:style>
  <w:style w:type="paragraph" w:styleId="Subttulo">
    <w:name w:val="Subtitle"/>
    <w:basedOn w:val="Normal"/>
    <w:next w:val="Normal"/>
    <w:link w:val="SubttuloCarter"/>
    <w:uiPriority w:val="11"/>
    <w:qFormat/>
    <w:rsid w:val="00823C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23CDF"/>
    <w:rPr>
      <w:rFonts w:eastAsiaTheme="minorEastAsia"/>
      <w:color w:val="5A5A5A" w:themeColor="text1" w:themeTint="A5"/>
      <w:spacing w:val="15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823C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823CD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ec.europa.eu/justice/data-protection/article-29/structure/data-protection-authorities/index_en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ropa.eu/youreurope/citizens/consumers/telecoms-internet/data-protection-privacy/index_pt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cip.pt/pt/newsletter-juris/1241-o-novo-regulamento-de-proteccao-de-dados-parte-vi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1685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Silva</dc:creator>
  <cp:keywords/>
  <dc:description/>
  <cp:lastModifiedBy>Vanessa Silva</cp:lastModifiedBy>
  <cp:revision>32</cp:revision>
  <dcterms:created xsi:type="dcterms:W3CDTF">2017-12-10T23:51:00Z</dcterms:created>
  <dcterms:modified xsi:type="dcterms:W3CDTF">2017-12-11T00:38:00Z</dcterms:modified>
</cp:coreProperties>
</file>