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2025-06-16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Ausberto Johel Rosales García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00155918-3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45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Caton Casitas Frente Cancha de Fútbol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7585-4748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20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Acompañada/o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Roxana Nohemy Sanchez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PROPIO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PS65UH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PANTALLA SAMSUNG DE 65" M/UN65CU7000PXPA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795.00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795.00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90.00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705.00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11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90.00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1080.00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