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2025-08-02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CLIENTES VARIOS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99999999-9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18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9999-9999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Soltera/o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9999-9999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RECIBE REMESA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DE LOS ESTADOS UNIDOS 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AMA DE CASA 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SILVIA SANCHEZ 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HIJO/A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URB MIRAMONTE 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7250-5440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AMA DE CASA 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NIOE SANCHEZ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HIJO/A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URB MIRAMONTE  LOURDES 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7212-0445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EMPLEADO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SILVIA SANCHEZ 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LOS CHORROS LOURDES COLON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7682-5656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EMPLEADA 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NIOE SANCHEZ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LOURDES COLON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7723-7462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AMA DE CASA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CLOAME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CLOSET AMERICANO DE METAL CON ESPEJO DE 1.50 MT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460.00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460.00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100.00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360.00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12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45.00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640.00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