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OSCAR EMILIO ALVARENGA CORDOVA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CTON LAS GRANADILLAS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2025-08-04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PCL32P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Pantalla de 32"cl smat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AA28EL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Antena aerea 28 elementos c/cable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$185.00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OCHENTA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