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TERESA AMELIA CRUZ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el progreso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CCL250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c/horno cl m/250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CNPRE4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Comedor natural preferencial p/4p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JSJ311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sala junior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CAFR10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fresh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$130.00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PCL32P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Pantalla de 32"cl smat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$835.00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OCHOCIENTOS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