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Rule="auto"/>
        <w:ind w:lef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180000</wp:posOffset>
            </wp:positionH>
            <wp:positionV relativeFrom="page">
              <wp:posOffset>180000</wp:posOffset>
            </wp:positionV>
            <wp:extent cx="7200000" cy="10386000"/>
            <wp:effectExtent b="0" l="0" r="0" t="0"/>
            <wp:wrapTopAndBottom distB="0" dist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103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SUMÁRIO</w:t>
      </w:r>
    </w:p>
    <w:p w:rsidR="00000000" w:rsidDel="00000000" w:rsidP="00000000" w:rsidRDefault="00000000" w:rsidRPr="00000000" w14:paraId="00000003">
      <w:pPr>
        <w:spacing w:after="20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637.795275590554"/>
            </w:tabs>
            <w:spacing w:before="8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w5l85xbgfmk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Rótulos de Dados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_qw5l85xbgfmk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637.795275590554"/>
            </w:tabs>
            <w:spacing w:after="80"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ckn8s9smutu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Configurando buffers de rótulo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_eckn8s9smutu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-321374</wp:posOffset>
            </wp:positionH>
            <wp:positionV relativeFrom="paragraph">
              <wp:posOffset>0</wp:posOffset>
            </wp:positionV>
            <wp:extent cx="6761697" cy="2113687"/>
            <wp:effectExtent b="0" l="0" r="0" t="0"/>
            <wp:wrapTopAndBottom distB="0" dist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1697" cy="21136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qw5l85xbgfmk" w:id="0"/>
      <w:bookmarkEnd w:id="0"/>
      <w:r w:rsidDel="00000000" w:rsidR="00000000" w:rsidRPr="00000000">
        <w:rPr>
          <w:rtl w:val="0"/>
        </w:rPr>
        <w:t xml:space="preserve">Rótulos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Podemos ativar a rotulagem acessando com o botão direito sobre a camada, no painel de camadas, o caminho </w:t>
      </w:r>
      <w:r w:rsidDel="00000000" w:rsidR="00000000" w:rsidRPr="00000000">
        <w:rPr>
          <w:b w:val="1"/>
          <w:rtl w:val="0"/>
        </w:rPr>
        <w:t xml:space="preserve">Propriedades &gt;&gt; Rótulos</w:t>
      </w:r>
      <w:r w:rsidDel="00000000" w:rsidR="00000000" w:rsidRPr="00000000">
        <w:rPr>
          <w:rtl w:val="0"/>
        </w:rPr>
        <w:t xml:space="preserve">, selecionando Rótulos individuais para esta camada e selecionando o campo de atributo com o qual queremos rotular. Isso é tudo que precisamos fazer para exibir os rótulos com as configurações padrão. Embora os rótulos padrão sejam ótimos para uma visualização rápida, geralmente queremos personalizar os rótulos e criar visualizações melhores. Um bom caminho é o uso de </w:t>
      </w:r>
      <w:r w:rsidDel="00000000" w:rsidR="00000000" w:rsidRPr="00000000">
        <w:rPr>
          <w:b w:val="1"/>
          <w:rtl w:val="0"/>
        </w:rPr>
        <w:t xml:space="preserve">Expressões</w:t>
      </w:r>
      <w:r w:rsidDel="00000000" w:rsidR="00000000" w:rsidRPr="00000000">
        <w:rPr>
          <w:rtl w:val="0"/>
        </w:rPr>
        <w:t xml:space="preserve">, com as quais podemos formatar o texto do rótulo para atender às nossas necessidades.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Por exemplo, usando o arquivo </w:t>
      </w:r>
      <w:r w:rsidDel="00000000" w:rsidR="00000000" w:rsidRPr="00000000">
        <w:rPr>
          <w:b w:val="1"/>
          <w:rtl w:val="0"/>
        </w:rPr>
        <w:t xml:space="preserve">sedes_municipais.shp</w:t>
      </w:r>
      <w:r w:rsidDel="00000000" w:rsidR="00000000" w:rsidRPr="00000000">
        <w:rPr>
          <w:rtl w:val="0"/>
        </w:rPr>
        <w:t xml:space="preserve">, que contém na sua tabela de atributos dados de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Altitude</w:t>
      </w:r>
      <w:r w:rsidDel="00000000" w:rsidR="00000000" w:rsidRPr="00000000">
        <w:rPr>
          <w:rtl w:val="0"/>
        </w:rPr>
        <w:t xml:space="preserve"> das sedes municipais. Caso queiramos representar no mesmo rótulo ambos os dados, combinando o nome e a elevação entre parênteses, podemos usar o operador de concatenação (||), da seguinte maneira: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"Nome" || ' - alt.' || "Altitude" || ' m)'      [Traduzir analiticamente] Insira o dado da coluna Nome, em seguida adicione o termo “ – alt.”, depois o campo Altitude, seguido da letra “m”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 aspas simples referem-se à instrução ao sistema de que a feição se trata de um nome. As aspas duplas referem-se a uma coluna da tabela de atributos. A caixa de diálogo será semelhante à mostrada na </w:t>
      </w:r>
      <w:r w:rsidDel="00000000" w:rsidR="00000000" w:rsidRPr="00000000">
        <w:rPr>
          <w:b w:val="1"/>
          <w:rtl w:val="0"/>
        </w:rPr>
        <w:t xml:space="preserve">Figura 01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01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114415" cy="1610360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610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9525</wp:posOffset>
            </wp:positionH>
            <wp:positionV relativeFrom="paragraph">
              <wp:posOffset>1771650</wp:posOffset>
            </wp:positionV>
            <wp:extent cx="6128117" cy="3945647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8117" cy="39456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Escolha a opção </w:t>
      </w:r>
      <w:r w:rsidDel="00000000" w:rsidR="00000000" w:rsidRPr="00000000">
        <w:rPr>
          <w:b w:val="1"/>
          <w:rtl w:val="0"/>
        </w:rPr>
        <w:t xml:space="preserve">Rótulos individuais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 no ícone  e será aberta a </w:t>
      </w:r>
      <w:r w:rsidDel="00000000" w:rsidR="00000000" w:rsidRPr="00000000">
        <w:rPr>
          <w:b w:val="1"/>
          <w:rtl w:val="0"/>
        </w:rPr>
        <w:t xml:space="preserve">caixa de diálogo expressão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caixa aberta, no campo </w:t>
      </w:r>
      <w:r w:rsidDel="00000000" w:rsidR="00000000" w:rsidRPr="00000000">
        <w:rPr>
          <w:b w:val="1"/>
          <w:rtl w:val="0"/>
        </w:rPr>
        <w:t xml:space="preserve">Expressão</w:t>
      </w:r>
      <w:r w:rsidDel="00000000" w:rsidR="00000000" w:rsidRPr="00000000">
        <w:rPr>
          <w:rtl w:val="0"/>
        </w:rPr>
        <w:t xml:space="preserve">, digite a expressão que aparece. O resultado será mostrado conforme a </w:t>
      </w:r>
      <w:r w:rsidDel="00000000" w:rsidR="00000000" w:rsidRPr="00000000">
        <w:rPr>
          <w:b w:val="1"/>
          <w:rtl w:val="0"/>
        </w:rPr>
        <w:t xml:space="preserve">Figura 02</w:t>
      </w:r>
      <w:r w:rsidDel="00000000" w:rsidR="00000000" w:rsidRPr="00000000">
        <w:rPr>
          <w:rtl w:val="0"/>
        </w:rPr>
        <w:t xml:space="preserve">. Conforme pode ser visto, aparecerão os rótulos dos pontos contendo o nome do município e sua altitude.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02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120000" cy="3314700"/>
            <wp:effectExtent b="0" l="0" r="0" t="0"/>
            <wp:wrapTopAndBottom distB="0" dist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1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área de visualização na parte superior da caixa de diálogo, intitulada Amostra de texto / buffer, mostra uma visualização das configurações atuais. A cor de fundo pode ser ajustada para testar a legibilidade em diferentes fundos. Na área de visualização, encontramos as diferentes configurações de rótulos, que serão descritas em detalhes nas seções a seguir.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03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488950</wp:posOffset>
            </wp:positionH>
            <wp:positionV relativeFrom="paragraph">
              <wp:posOffset>0</wp:posOffset>
            </wp:positionV>
            <wp:extent cx="5144927" cy="5039450"/>
            <wp:effectExtent b="0" l="0" r="0" t="0"/>
            <wp:wrapTopAndBottom distB="0" dist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927" cy="5039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Escolha a opção Rótulos individuais;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Área para escolha da coluna que contém o rótulo a ser mostrado;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Área para modificação do tipo de fonte, seu estilo, cor, tamanho e opacidade.</w:t>
      </w:r>
    </w:p>
    <w:p w:rsidR="00000000" w:rsidDel="00000000" w:rsidP="00000000" w:rsidRDefault="00000000" w:rsidRPr="00000000" w14:paraId="00000023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200" w:lineRule="auto"/>
        <w:ind w:left="0" w:firstLine="0"/>
        <w:rPr/>
      </w:pPr>
      <w:bookmarkStart w:colFirst="0" w:colLast="0" w:name="_pirt9tqbg968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00" w:lineRule="auto"/>
        <w:ind w:left="0" w:firstLine="0"/>
        <w:rPr/>
      </w:pPr>
      <w:bookmarkStart w:colFirst="0" w:colLast="0" w:name="_eckn8s9smutu" w:id="2"/>
      <w:bookmarkEnd w:id="2"/>
      <w:r w:rsidDel="00000000" w:rsidR="00000000" w:rsidRPr="00000000">
        <w:rPr>
          <w:rtl w:val="0"/>
        </w:rPr>
        <w:t xml:space="preserve">Configurando buffers de rótulo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 seção Buffer, podemos ajustar o tamanho, a cor e a transparência do buffer, bem como o estilo de junção da caneta e o modo de mesclagem. Com transparência e combinação, podemos melhorar a legibilidade do rótulo sem bloquear muito o mapa do fundo, conforme mostrado na </w:t>
      </w:r>
      <w:r w:rsidDel="00000000" w:rsidR="00000000" w:rsidRPr="00000000">
        <w:rPr>
          <w:b w:val="1"/>
          <w:rtl w:val="0"/>
        </w:rPr>
        <w:t xml:space="preserve">Figura 04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641350</wp:posOffset>
            </wp:positionH>
            <wp:positionV relativeFrom="paragraph">
              <wp:posOffset>292100</wp:posOffset>
            </wp:positionV>
            <wp:extent cx="4590158" cy="4487113"/>
            <wp:effectExtent b="0" l="0" r="0" t="0"/>
            <wp:wrapTopAndBottom distB="0" dist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0158" cy="4487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04</w:t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795275590552" w:type="dxa"/>
        <w:jc w:val="left"/>
        <w:tblInd w:w="170.07874015748033" w:type="pct"/>
        <w:tblBorders>
          <w:top w:color="3be3e2" w:space="0" w:sz="4" w:val="single"/>
          <w:left w:color="3be3e2" w:space="0" w:sz="4" w:val="single"/>
          <w:bottom w:color="3be3e2" w:space="0" w:sz="4" w:val="single"/>
          <w:right w:color="3be3e2" w:space="0" w:sz="4" w:val="single"/>
          <w:insideH w:color="3be3e2" w:space="0" w:sz="4" w:val="single"/>
          <w:insideV w:color="3be3e2" w:space="0" w:sz="4" w:val="single"/>
        </w:tblBorders>
        <w:tblLayout w:type="fixed"/>
        <w:tblLook w:val="0600"/>
      </w:tblPr>
      <w:tblGrid>
        <w:gridCol w:w="9637.795275590552"/>
        <w:tblGridChange w:id="0">
          <w:tblGrid>
            <w:gridCol w:w="9637.795275590552"/>
          </w:tblGrid>
        </w:tblGridChange>
      </w:tblGrid>
      <w:tr>
        <w:trPr>
          <w:cantSplit w:val="1"/>
          <w:trHeight w:val="566.9291338582677" w:hRule="atLeast"/>
          <w:tblHeader w:val="0"/>
        </w:trPr>
        <w:tc>
          <w:tcPr>
            <w:tcBorders>
              <w:top w:color="3be3e2" w:space="0" w:sz="4" w:val="single"/>
              <w:left w:color="3be3e2" w:space="0" w:sz="4" w:val="single"/>
              <w:bottom w:color="3be3e2" w:space="0" w:sz="4" w:val="single"/>
              <w:right w:color="3be3e2" w:space="0" w:sz="4" w:val="single"/>
            </w:tcBorders>
            <w:shd w:fill="3be3e2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left="141.73228346456688" w:firstLine="0"/>
              <w:rPr>
                <w:b w:val="1"/>
                <w:color w:val="0a4c66"/>
              </w:rPr>
            </w:pPr>
            <w:r w:rsidDel="00000000" w:rsidR="00000000" w:rsidRPr="00000000">
              <w:rPr>
                <w:b w:val="1"/>
                <w:color w:val="0a4c66"/>
                <w:rtl w:val="0"/>
              </w:rPr>
              <w:t xml:space="preserve">SAIBA MAIS</w:t>
            </w:r>
          </w:p>
        </w:tc>
      </w:tr>
      <w:tr>
        <w:trPr>
          <w:cantSplit w:val="1"/>
          <w:trHeight w:val="566.9291338582677" w:hRule="atLeast"/>
          <w:tblHeader w:val="0"/>
        </w:trPr>
        <w:tc>
          <w:tcPr>
            <w:tcBorders>
              <w:top w:color="3be3e2" w:space="0" w:sz="4" w:val="single"/>
              <w:left w:color="3be3e2" w:space="0" w:sz="4" w:val="single"/>
              <w:bottom w:color="3be3e2" w:space="0" w:sz="4" w:val="single"/>
              <w:right w:color="3be3e2" w:space="0" w:sz="4" w:val="single"/>
            </w:tcBorders>
            <w:shd w:fill="d8f7fb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Clique aqui</w:t>
              </w:r>
            </w:hyperlink>
            <w:r w:rsidDel="00000000" w:rsidR="00000000" w:rsidRPr="00000000">
              <w:rPr>
                <w:rtl w:val="0"/>
              </w:rPr>
              <w:t xml:space="preserve"> e acesse o vídeo para acompanhar o procedimento de </w:t>
            </w:r>
            <w:r w:rsidDel="00000000" w:rsidR="00000000" w:rsidRPr="00000000">
              <w:rPr>
                <w:b w:val="1"/>
                <w:rtl w:val="0"/>
              </w:rPr>
              <w:t xml:space="preserve">Rótulo de Dados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8"/>
        <w:szCs w:val="28"/>
        <w:lang w:val="pt_BR"/>
      </w:rPr>
    </w:rPrDefault>
    <w:pPrDefault>
      <w:pPr>
        <w:spacing w:line="276" w:lineRule="auto"/>
        <w:ind w:firstLine="566.929133858267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cccccc" w:space="0" w:sz="8" w:val="single"/>
      </w:pBdr>
      <w:ind w:firstLine="0"/>
    </w:pPr>
    <w:rPr>
      <w:b w:val="1"/>
      <w:color w:val="44833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cccccc" w:space="0" w:sz="8" w:val="single"/>
      </w:pBdr>
      <w:ind w:firstLine="0"/>
      <w:jc w:val="left"/>
    </w:pPr>
    <w:rPr>
      <w:b w:val="1"/>
      <w:color w:val="999999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Bdr>
        <w:bottom w:color="cccccc" w:space="0" w:sz="8" w:val="single"/>
      </w:pBdr>
      <w:ind w:firstLine="0"/>
      <w:jc w:val="left"/>
    </w:pPr>
    <w:rPr>
      <w:b w:val="1"/>
      <w:color w:val="93939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yperlink" Target="https://drive.google.com/file/d/1wVPU516U9YQCdWuSl6xV67IaAt75C8ro/preview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5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