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comments.xml" ContentType="application/vnd.openxmlformats-officedocument.wordprocessingml.comments+xml"/>
  <Override PartName="/word/header1.xml" ContentType="application/vnd.openxmlformats-officedocument.wordprocessingml.header+xml"/>
  <Override PartName="/word/commentsExtended.xml" ContentType="application/vnd.openxmlformats-officedocument.wordprocessingml.commentsExtended+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pBdr>
          <w:bottom w:val="single" w:sz="4" w:space="1" w:color="000000"/>
        </w:pBdr>
        <w:spacing w:lineRule="auto" w:line="240"/>
        <w:jc w:val="both"/>
        <w:rPr>
          <w:rFonts w:ascii="Times New Roman" w:hAnsi="Times New Roman" w:eastAsia="Times New Roman" w:cs="Times New Roman"/>
          <w:b/>
          <w:b/>
          <w:sz w:val="18"/>
          <w:szCs w:val="18"/>
        </w:rPr>
      </w:pPr>
      <w:r>
        <w:rPr>
          <w:rFonts w:eastAsia="Times New Roman" w:cs="Times New Roman" w:ascii="Times New Roman" w:hAnsi="Times New Roman"/>
          <w:b/>
          <w:sz w:val="18"/>
          <w:szCs w:val="18"/>
        </w:rPr>
      </w:r>
      <w:bookmarkStart w:id="0" w:name="_35nkun2"/>
      <w:bookmarkStart w:id="1" w:name="_35nkun2"/>
      <w:bookmarkEnd w:id="1"/>
    </w:p>
    <w:p>
      <w:pPr>
        <w:pStyle w:val="Normal1"/>
        <w:pBdr>
          <w:bottom w:val="single" w:sz="4" w:space="1" w:color="000000"/>
        </w:pBdr>
        <w:spacing w:lineRule="auto" w:line="240"/>
        <w:jc w:val="both"/>
        <w:rPr>
          <w:rFonts w:ascii="Times New Roman" w:hAnsi="Times New Roman" w:eastAsia="Times New Roman" w:cs="Times New Roman"/>
          <w:sz w:val="18"/>
          <w:szCs w:val="18"/>
        </w:rPr>
      </w:pPr>
      <w:bookmarkStart w:id="2" w:name="_eveu0gs2ikib"/>
      <w:bookmarkEnd w:id="2"/>
      <w:r>
        <w:rPr>
          <w:rFonts w:eastAsia="Times New Roman" w:cs="Times New Roman" w:ascii="Times New Roman" w:hAnsi="Times New Roman"/>
          <w:b/>
          <w:sz w:val="18"/>
          <w:szCs w:val="18"/>
        </w:rPr>
        <w:t>Módulo II</w:t>
      </w:r>
    </w:p>
    <w:p>
      <w:pPr>
        <w:pStyle w:val="Normal1"/>
        <w:pBdr>
          <w:bottom w:val="single" w:sz="4" w:space="1" w:color="000000"/>
        </w:pBdr>
        <w:spacing w:lineRule="auto" w:line="360"/>
        <w:jc w:val="both"/>
        <w:rPr>
          <w:rFonts w:ascii="Times New Roman" w:hAnsi="Times New Roman" w:eastAsia="Times New Roman" w:cs="Times New Roman"/>
          <w:sz w:val="18"/>
          <w:szCs w:val="18"/>
        </w:rPr>
      </w:pPr>
      <w:r>
        <w:rPr>
          <w:rFonts w:eastAsia="Times New Roman" w:cs="Times New Roman" w:ascii="Times New Roman" w:hAnsi="Times New Roman"/>
          <w:b/>
          <w:sz w:val="18"/>
          <w:szCs w:val="18"/>
        </w:rPr>
        <w:t>Aula 01 Orientações para Implantação do Sistema SIGA</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Curso: Gestão de Suprimentos (Material de Consumo)</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Autoria: Ricardo Henrique Pinto Rodrigues</w:t>
      </w:r>
    </w:p>
    <w:p>
      <w:pPr>
        <w:pStyle w:val="Normal1"/>
        <w:pBdr>
          <w:bottom w:val="single" w:sz="4" w:space="1" w:color="000000"/>
        </w:pBd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Aula 01</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pBdr>
          <w:bottom w:val="single" w:sz="24" w:space="1" w:color="000000"/>
        </w:pBdr>
        <w:spacing w:lineRule="auto" w:line="360"/>
        <w:jc w:val="both"/>
        <w:rPr>
          <w:rFonts w:ascii="Times New Roman" w:hAnsi="Times New Roman" w:eastAsia="Times New Roman" w:cs="Times New Roman"/>
          <w:sz w:val="24"/>
          <w:szCs w:val="24"/>
        </w:rPr>
      </w:pPr>
      <w:commentRangeStart w:id="0"/>
      <w:r>
        <w:rPr>
          <w:rFonts w:eastAsia="Times New Roman" w:cs="Times New Roman" w:ascii="Times New Roman" w:hAnsi="Times New Roman"/>
          <w:b/>
          <w:smallCaps/>
          <w:sz w:val="24"/>
          <w:szCs w:val="24"/>
        </w:rPr>
        <w:t>1) ORIENTAÇÕES PARA A IMPLANTAÇÃO DO SISTEMA SIGA/SGBM:</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Objetivo: Compreender as características do Sistema SIGA/SGBM, quais os procedimentos de depuração da base de dados, e a conciliação dos saldos físicos com os saldos patrimoniais constantes na contabilidade, de forma a implantar o sistema conscientemente.</w:t>
      </w:r>
      <w:commentRangeEnd w:id="0"/>
      <w:r>
        <w:commentReference w:id="0"/>
      </w:r>
      <w:r>
        <w:rPr>
          <w:rFonts w:eastAsia="Times New Roman" w:cs="Times New Roman" w:ascii="Times New Roman" w:hAnsi="Times New Roman"/>
          <w:sz w:val="24"/>
          <w:szCs w:val="24"/>
        </w:rPr>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jc w:val="both"/>
        <w:rPr>
          <w:rFonts w:ascii="Times New Roman" w:hAnsi="Times New Roman" w:eastAsia="Times New Roman" w:cs="Times New Roman"/>
          <w:sz w:val="24"/>
          <w:szCs w:val="24"/>
        </w:rPr>
      </w:pPr>
      <w:commentRangeStart w:id="1"/>
      <w:r>
        <w:rPr>
          <w:rFonts w:eastAsia="Times New Roman" w:cs="Times New Roman" w:ascii="Times New Roman" w:hAnsi="Times New Roman"/>
          <w:sz w:val="24"/>
          <w:szCs w:val="24"/>
        </w:rPr>
        <w:t xml:space="preserve">O SIGA/SGBM é o sistema oficial de almoxarifado e de bens móveis do Governo Estadual do Ceará, regulamentado pelo Decreto n° 31.549, de 13 de agosto de 2014 e desenvolvido de forma corporativa para que os órgãos e entidades da administração direta controlem seus materiais de consumo e permanente de forma física e financeira, apurando as informações de gestão. </w:t>
      </w:r>
    </w:p>
    <w:p>
      <w:pPr>
        <w:pStyle w:val="Normal1"/>
        <w:spacing w:lineRule="auto" w:line="360" w:before="0" w:after="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 sistema foi desenvolvido no ambiente INTERNET, permitindo o acesso por intermédio de senhas individualizadas, mantendo a integridade dos dados de cada órgão e entidade, possibilitando também a consolidação de informações de consumo de materiais e movimentações de bens entre os órgãos que utilizam o sistema. </w:t>
      </w:r>
      <w:commentRangeEnd w:id="1"/>
      <w:r>
        <w:commentReference w:id="1"/>
      </w:r>
      <w:r>
        <w:rPr>
          <w:rFonts w:eastAsia="Times New Roman" w:cs="Times New Roman" w:ascii="Times New Roman" w:hAnsi="Times New Roman"/>
          <w:sz w:val="24"/>
          <w:szCs w:val="24"/>
        </w:rPr>
      </w:r>
    </w:p>
    <w:p>
      <w:pPr>
        <w:pStyle w:val="Normal1"/>
        <w:spacing w:lineRule="auto" w:line="360" w:before="120" w:after="120"/>
        <w:rPr>
          <w:rFonts w:ascii="Times New Roman" w:hAnsi="Times New Roman" w:eastAsia="Times New Roman" w:cs="Times New Roman"/>
          <w:sz w:val="24"/>
          <w:szCs w:val="24"/>
        </w:rPr>
      </w:pPr>
      <w:commentRangeStart w:id="2"/>
      <w:r>
        <w:rPr>
          <w:rFonts w:eastAsia="Times New Roman" w:cs="Times New Roman" w:ascii="Times New Roman" w:hAnsi="Times New Roman"/>
          <w:b/>
          <w:smallCaps/>
          <w:sz w:val="24"/>
          <w:szCs w:val="24"/>
        </w:rPr>
        <w:t>1.1) AS CARACTERÍSTICAS E INTEGRAÇÃO DO SISTEMA</w:t>
      </w:r>
      <w:commentRangeEnd w:id="2"/>
      <w:r>
        <w:commentReference w:id="2"/>
      </w:r>
      <w:r>
        <w:rPr>
          <w:rFonts w:eastAsia="Times New Roman" w:cs="Times New Roman" w:ascii="Times New Roman" w:hAnsi="Times New Roman"/>
          <w:b/>
          <w:smallCaps/>
          <w:sz w:val="24"/>
          <w:szCs w:val="24"/>
        </w:rPr>
      </w:r>
    </w:p>
    <w:p>
      <w:pPr>
        <w:pStyle w:val="Normal1"/>
        <w:spacing w:lineRule="auto" w:line="360"/>
        <w:jc w:val="both"/>
        <w:rPr>
          <w:rFonts w:ascii="Times New Roman" w:hAnsi="Times New Roman" w:eastAsia="Times New Roman" w:cs="Times New Roman"/>
          <w:sz w:val="24"/>
          <w:szCs w:val="24"/>
        </w:rPr>
      </w:pPr>
      <w:commentRangeStart w:id="3"/>
      <w:r>
        <w:rPr>
          <w:rFonts w:eastAsia="Times New Roman" w:cs="Times New Roman" w:ascii="Times New Roman" w:hAnsi="Times New Roman"/>
          <w:sz w:val="24"/>
          <w:szCs w:val="24"/>
        </w:rPr>
        <w:t>Para obter a padronização, o SIGA/SGBM se integra com outros sistemas corporativos do Governo Estadual, tais como:</w:t>
      </w:r>
      <w:commentRangeEnd w:id="3"/>
      <w:r>
        <w:commentReference w:id="3"/>
      </w:r>
      <w:r>
        <w:rPr>
          <w:rFonts w:eastAsia="Times New Roman" w:cs="Times New Roman" w:ascii="Times New Roman" w:hAnsi="Times New Roman"/>
          <w:sz w:val="24"/>
          <w:szCs w:val="24"/>
        </w:rPr>
      </w:r>
    </w:p>
    <w:tbl>
      <w:tblPr>
        <w:tblStyle w:val="Table1"/>
        <w:tblW w:w="9853" w:type="dxa"/>
        <w:jc w:val="left"/>
        <w:tblInd w:w="0" w:type="dxa"/>
        <w:tblLayout w:type="fixed"/>
        <w:tblCellMar>
          <w:top w:w="0" w:type="dxa"/>
          <w:left w:w="108" w:type="dxa"/>
          <w:bottom w:w="0" w:type="dxa"/>
          <w:right w:w="108" w:type="dxa"/>
        </w:tblCellMar>
        <w:tblLook w:val="0000"/>
      </w:tblPr>
      <w:tblGrid>
        <w:gridCol w:w="2057"/>
        <w:gridCol w:w="7795"/>
      </w:tblGrid>
      <w:tr>
        <w:trPr/>
        <w:tc>
          <w:tcPr>
            <w:tcW w:w="2057" w:type="dxa"/>
            <w:tcBorders/>
          </w:tcPr>
          <w:p>
            <w:pPr>
              <w:pStyle w:val="Normal1"/>
              <w:widowControl w:val="false"/>
              <w:spacing w:lineRule="auto" w:line="360"/>
              <w:jc w:val="both"/>
              <w:rPr>
                <w:rFonts w:ascii="Times New Roman" w:hAnsi="Times New Roman" w:eastAsia="Times New Roman" w:cs="Times New Roman"/>
                <w:sz w:val="24"/>
                <w:szCs w:val="24"/>
              </w:rPr>
            </w:pPr>
            <w:r>
              <w:rPr/>
              <w:drawing>
                <wp:inline distT="0" distB="0" distL="0" distR="0">
                  <wp:extent cx="971550" cy="970915"/>
                  <wp:effectExtent l="0" t="0" r="0" b="0"/>
                  <wp:docPr id="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descr=""/>
                          <pic:cNvPicPr>
                            <a:picLocks noChangeAspect="1" noChangeArrowheads="1"/>
                          </pic:cNvPicPr>
                        </pic:nvPicPr>
                        <pic:blipFill>
                          <a:blip r:embed="rId2"/>
                          <a:stretch>
                            <a:fillRect/>
                          </a:stretch>
                        </pic:blipFill>
                        <pic:spPr bwMode="auto">
                          <a:xfrm>
                            <a:off x="0" y="0"/>
                            <a:ext cx="971550" cy="970915"/>
                          </a:xfrm>
                          <a:prstGeom prst="rect">
                            <a:avLst/>
                          </a:prstGeom>
                        </pic:spPr>
                      </pic:pic>
                    </a:graphicData>
                  </a:graphic>
                </wp:inline>
              </w:drawing>
            </w:r>
          </w:p>
        </w:tc>
        <w:tc>
          <w:tcPr>
            <w:tcW w:w="7795" w:type="dxa"/>
            <w:tcBorders/>
          </w:tcPr>
          <w:p>
            <w:pPr>
              <w:pStyle w:val="Normal1"/>
              <w:widowControl w:val="false"/>
              <w:spacing w:lineRule="auto" w:line="360"/>
              <w:jc w:val="both"/>
              <w:rPr>
                <w:rFonts w:ascii="Times New Roman" w:hAnsi="Times New Roman" w:eastAsia="Times New Roman" w:cs="Times New Roman"/>
                <w:sz w:val="24"/>
                <w:szCs w:val="24"/>
              </w:rPr>
            </w:pPr>
            <w:commentRangeStart w:id="4"/>
            <w:r>
              <w:rPr>
                <w:rFonts w:eastAsia="Times New Roman" w:cs="Times New Roman" w:ascii="Times New Roman" w:hAnsi="Times New Roman"/>
                <w:b/>
                <w:sz w:val="24"/>
                <w:szCs w:val="24"/>
              </w:rPr>
              <w:t>a) Sistema de Catálogo de Bens Materiais e Serviços:</w:t>
            </w:r>
          </w:p>
          <w:p>
            <w:pPr>
              <w:pStyle w:val="Normal1"/>
              <w:widowControl w:val="false"/>
              <w:spacing w:lineRule="auto" w:line="360" w:before="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É o sistema utilizado pelo Governo Estadual para padronizar características e nomenclaturas de bens, materiais e serviços adquiridos e mantidos pelos órgãos e entidades do Governo Estadual. Todos os itens de materiais de consumo e permanente tem seu código e especificação retirados do sistema de catálogo, permitindo consolidar informações acerca do consumo de materiais e da movimentação de bens patrimoniais, além de permitir a padronização de taxas de depreciação, vida útil e percentual de valor residual, fornecendo parâmetros para cálculo da depreciação.</w:t>
            </w:r>
          </w:p>
        </w:tc>
      </w:tr>
      <w:tr>
        <w:trPr/>
        <w:tc>
          <w:tcPr>
            <w:tcW w:w="2057" w:type="dxa"/>
            <w:tcBorders/>
          </w:tcPr>
          <w:p>
            <w:pPr>
              <w:pStyle w:val="Normal1"/>
              <w:widowControl w:val="false"/>
              <w:spacing w:lineRule="auto" w:line="360"/>
              <w:jc w:val="both"/>
              <w:rPr>
                <w:rFonts w:ascii="Times New Roman" w:hAnsi="Times New Roman" w:eastAsia="Times New Roman" w:cs="Times New Roman"/>
                <w:sz w:val="24"/>
                <w:szCs w:val="24"/>
              </w:rPr>
            </w:pPr>
            <w:r>
              <w:rPr/>
            </w:r>
            <w:commentRangeEnd w:id="4"/>
            <w:r>
              <w:commentReference w:id="4"/>
            </w:r>
            <w:r>
              <w:rPr/>
              <w:drawing>
                <wp:inline distT="0" distB="0" distL="0" distR="0">
                  <wp:extent cx="1023620" cy="682625"/>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1023620" cy="682625"/>
                          </a:xfrm>
                          <a:prstGeom prst="rect">
                            <a:avLst/>
                          </a:prstGeom>
                        </pic:spPr>
                      </pic:pic>
                    </a:graphicData>
                  </a:graphic>
                </wp:inline>
              </w:drawing>
            </w:r>
          </w:p>
        </w:tc>
        <w:tc>
          <w:tcPr>
            <w:tcW w:w="7795" w:type="dxa"/>
            <w:tcBorders/>
          </w:tcPr>
          <w:p>
            <w:pPr>
              <w:pStyle w:val="Normal1"/>
              <w:widowControl w:val="false"/>
              <w:spacing w:lineRule="auto" w:line="360"/>
              <w:jc w:val="both"/>
              <w:rPr>
                <w:rFonts w:ascii="Times New Roman" w:hAnsi="Times New Roman" w:eastAsia="Times New Roman" w:cs="Times New Roman"/>
                <w:sz w:val="24"/>
                <w:szCs w:val="24"/>
              </w:rPr>
            </w:pPr>
            <w:commentRangeStart w:id="5"/>
            <w:r>
              <w:rPr>
                <w:rFonts w:eastAsia="Times New Roman" w:cs="Times New Roman" w:ascii="Times New Roman" w:hAnsi="Times New Roman"/>
                <w:b/>
                <w:sz w:val="24"/>
                <w:szCs w:val="24"/>
              </w:rPr>
              <w:t>b) Sistemas de Compras Eletrônicas:</w:t>
            </w:r>
          </w:p>
          <w:p>
            <w:pPr>
              <w:pStyle w:val="Normal1"/>
              <w:widowControl w:val="false"/>
              <w:spacing w:lineRule="auto" w:line="360" w:before="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São os sistemas utilizados pelo Governo Estadual para gerenciar os processos de compras por intermédio de Pedidos de Fornecimento. Os Pedidos de Fornecimento, emitidos pelos sistemas de compras do Governo Estadual, são lidos automaticamente pelo SIGA/SGBM, permitindo que, no momento do recebimento no almoxarifado dos materiais de consumo e permanente, as informações de identificação, quantidade e valor sejam importadas sem a necessidade de digitação, evitando assim transcrição e ocorrência de erros.</w:t>
            </w:r>
          </w:p>
        </w:tc>
      </w:tr>
      <w:tr>
        <w:trPr/>
        <w:tc>
          <w:tcPr>
            <w:tcW w:w="2057" w:type="dxa"/>
            <w:tcBorders/>
          </w:tcPr>
          <w:p>
            <w:pPr>
              <w:pStyle w:val="Normal1"/>
              <w:widowControl w:val="false"/>
              <w:spacing w:lineRule="auto" w:line="360"/>
              <w:jc w:val="both"/>
              <w:rPr>
                <w:rFonts w:ascii="Times New Roman" w:hAnsi="Times New Roman" w:eastAsia="Times New Roman" w:cs="Times New Roman"/>
                <w:sz w:val="24"/>
                <w:szCs w:val="24"/>
              </w:rPr>
            </w:pPr>
            <w:r>
              <w:rPr/>
            </w:r>
            <w:commentRangeEnd w:id="5"/>
            <w:r>
              <w:commentReference w:id="5"/>
            </w:r>
            <w:r>
              <w:rPr/>
              <w:drawing>
                <wp:inline distT="0" distB="0" distL="0" distR="0">
                  <wp:extent cx="894715" cy="1168400"/>
                  <wp:effectExtent l="0" t="0" r="0" b="0"/>
                  <wp:docPr id="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
                          <pic:cNvPicPr>
                            <a:picLocks noChangeAspect="1" noChangeArrowheads="1"/>
                          </pic:cNvPicPr>
                        </pic:nvPicPr>
                        <pic:blipFill>
                          <a:blip r:embed="rId4"/>
                          <a:stretch>
                            <a:fillRect/>
                          </a:stretch>
                        </pic:blipFill>
                        <pic:spPr bwMode="auto">
                          <a:xfrm>
                            <a:off x="0" y="0"/>
                            <a:ext cx="894715" cy="1168400"/>
                          </a:xfrm>
                          <a:prstGeom prst="rect">
                            <a:avLst/>
                          </a:prstGeom>
                        </pic:spPr>
                      </pic:pic>
                    </a:graphicData>
                  </a:graphic>
                </wp:inline>
              </w:drawing>
            </w:r>
          </w:p>
        </w:tc>
        <w:tc>
          <w:tcPr>
            <w:tcW w:w="7795" w:type="dxa"/>
            <w:tcBorders/>
          </w:tcPr>
          <w:p>
            <w:pPr>
              <w:pStyle w:val="Normal1"/>
              <w:widowControl w:val="false"/>
              <w:spacing w:lineRule="auto" w:line="360"/>
              <w:jc w:val="both"/>
              <w:rPr>
                <w:rFonts w:ascii="Times New Roman" w:hAnsi="Times New Roman" w:eastAsia="Times New Roman" w:cs="Times New Roman"/>
                <w:sz w:val="24"/>
                <w:szCs w:val="24"/>
              </w:rPr>
            </w:pPr>
            <w:commentRangeStart w:id="6"/>
            <w:r>
              <w:rPr>
                <w:rFonts w:eastAsia="Times New Roman" w:cs="Times New Roman" w:ascii="Times New Roman" w:hAnsi="Times New Roman"/>
                <w:b/>
                <w:sz w:val="24"/>
                <w:szCs w:val="24"/>
              </w:rPr>
              <w:t>c) Sistema de Fornecedores (Certificado de Registro Cadastral CRC):</w:t>
            </w:r>
            <w:r>
              <w:rPr>
                <w:rFonts w:eastAsia="Times New Roman" w:cs="Times New Roman" w:ascii="Times New Roman" w:hAnsi="Times New Roman"/>
                <w:sz w:val="24"/>
                <w:szCs w:val="24"/>
              </w:rPr>
              <w:t xml:space="preserve"> </w:t>
            </w:r>
          </w:p>
          <w:p>
            <w:pPr>
              <w:pStyle w:val="Normal1"/>
              <w:widowControl w:val="false"/>
              <w:spacing w:lineRule="auto" w:line="360" w:before="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É o sistema utilizado pelo Governo Estadual para gerenciar e certificar os fornecedores aptos a transacionar com o Estado do Ceará. Os materiais de consumo e permanente recebidos no almoxarifado, oriundos de compras, somente poderão ser registrados se o Fornecedor envolvido for certificado como Fornecedor do Governo Estadual, garantindo a obediência dos critérios estabelecidos na política de compras governamental.</w:t>
            </w:r>
          </w:p>
        </w:tc>
      </w:tr>
      <w:tr>
        <w:trPr/>
        <w:tc>
          <w:tcPr>
            <w:tcW w:w="2057" w:type="dxa"/>
            <w:tcBorders/>
          </w:tcPr>
          <w:p>
            <w:pPr>
              <w:pStyle w:val="Normal1"/>
              <w:widowControl w:val="false"/>
              <w:spacing w:lineRule="auto" w:line="360"/>
              <w:jc w:val="center"/>
              <w:rPr>
                <w:rFonts w:ascii="Times New Roman" w:hAnsi="Times New Roman" w:eastAsia="Times New Roman" w:cs="Times New Roman"/>
                <w:sz w:val="24"/>
                <w:szCs w:val="24"/>
              </w:rPr>
            </w:pPr>
            <w:r>
              <w:rPr/>
            </w:r>
            <w:commentRangeEnd w:id="6"/>
            <w:r>
              <w:commentReference w:id="6"/>
            </w:r>
            <w:r>
              <w:rPr/>
              <w:drawing>
                <wp:inline distT="0" distB="0" distL="0" distR="0">
                  <wp:extent cx="1048385" cy="638810"/>
                  <wp:effectExtent l="0" t="0" r="0" b="0"/>
                  <wp:docPr id="4"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jpg" descr=""/>
                          <pic:cNvPicPr>
                            <a:picLocks noChangeAspect="1" noChangeArrowheads="1"/>
                          </pic:cNvPicPr>
                        </pic:nvPicPr>
                        <pic:blipFill>
                          <a:blip r:embed="rId5"/>
                          <a:stretch>
                            <a:fillRect/>
                          </a:stretch>
                        </pic:blipFill>
                        <pic:spPr bwMode="auto">
                          <a:xfrm>
                            <a:off x="0" y="0"/>
                            <a:ext cx="1048385" cy="638810"/>
                          </a:xfrm>
                          <a:prstGeom prst="rect">
                            <a:avLst/>
                          </a:prstGeom>
                        </pic:spPr>
                      </pic:pic>
                    </a:graphicData>
                  </a:graphic>
                </wp:inline>
              </w:drawing>
            </w:r>
          </w:p>
        </w:tc>
        <w:tc>
          <w:tcPr>
            <w:tcW w:w="7795" w:type="dxa"/>
            <w:tcBorders/>
          </w:tcPr>
          <w:p>
            <w:pPr>
              <w:pStyle w:val="Normal1"/>
              <w:widowControl w:val="false"/>
              <w:spacing w:lineRule="auto" w:line="360"/>
              <w:jc w:val="both"/>
              <w:rPr>
                <w:rFonts w:ascii="Times New Roman" w:hAnsi="Times New Roman" w:eastAsia="Times New Roman" w:cs="Times New Roman"/>
                <w:sz w:val="24"/>
                <w:szCs w:val="24"/>
              </w:rPr>
            </w:pPr>
            <w:commentRangeStart w:id="7"/>
            <w:r>
              <w:rPr>
                <w:rFonts w:eastAsia="Times New Roman" w:cs="Times New Roman" w:ascii="Times New Roman" w:hAnsi="Times New Roman"/>
                <w:b/>
                <w:sz w:val="24"/>
                <w:szCs w:val="24"/>
              </w:rPr>
              <w:t>d) Sistema de Editoração Eletrônica de Documentos Oficiais do Estado do Ceará – Edoweb:</w:t>
            </w:r>
          </w:p>
          <w:p>
            <w:pPr>
              <w:pStyle w:val="Normal1"/>
              <w:widowControl w:val="false"/>
              <w:spacing w:lineRule="auto" w:line="360" w:before="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É o sistema utilizado pelo Governo Estadual para padronizar os documentos oficiais a serem publicados no Diário Oficial. Os Termos de Movimentação Patrimonial (doação, transferência e cessão), gerados pelo SIGA/SGBM, terão o seu Extrato de Publicação gerados automaticamente no EDOWEB, possibilitando maior celeridade na publicação em Diário Oficial de tais atos administrativos.</w:t>
            </w:r>
          </w:p>
        </w:tc>
      </w:tr>
      <w:tr>
        <w:trPr/>
        <w:tc>
          <w:tcPr>
            <w:tcW w:w="2057" w:type="dxa"/>
            <w:tcBorders/>
          </w:tcPr>
          <w:p>
            <w:pPr>
              <w:pStyle w:val="Normal1"/>
              <w:widowControl w:val="false"/>
              <w:spacing w:lineRule="auto" w:line="360"/>
              <w:jc w:val="both"/>
              <w:rPr>
                <w:rFonts w:ascii="Times New Roman" w:hAnsi="Times New Roman" w:eastAsia="Times New Roman" w:cs="Times New Roman"/>
                <w:sz w:val="24"/>
                <w:szCs w:val="24"/>
              </w:rPr>
            </w:pPr>
            <w:r>
              <w:rPr/>
            </w:r>
            <w:commentRangeEnd w:id="7"/>
            <w:r>
              <w:commentReference w:id="7"/>
            </w:r>
            <w:r>
              <w:rPr/>
              <w:drawing>
                <wp:inline distT="0" distB="0" distL="0" distR="0">
                  <wp:extent cx="1169035" cy="792480"/>
                  <wp:effectExtent l="0" t="0" r="0" b="0"/>
                  <wp:docPr id="5"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1.png" descr=""/>
                          <pic:cNvPicPr>
                            <a:picLocks noChangeAspect="1" noChangeArrowheads="1"/>
                          </pic:cNvPicPr>
                        </pic:nvPicPr>
                        <pic:blipFill>
                          <a:blip r:embed="rId6"/>
                          <a:stretch>
                            <a:fillRect/>
                          </a:stretch>
                        </pic:blipFill>
                        <pic:spPr bwMode="auto">
                          <a:xfrm>
                            <a:off x="0" y="0"/>
                            <a:ext cx="1169035" cy="792480"/>
                          </a:xfrm>
                          <a:prstGeom prst="rect">
                            <a:avLst/>
                          </a:prstGeom>
                        </pic:spPr>
                      </pic:pic>
                    </a:graphicData>
                  </a:graphic>
                </wp:inline>
              </w:drawing>
            </w:r>
          </w:p>
        </w:tc>
        <w:tc>
          <w:tcPr>
            <w:tcW w:w="7795" w:type="dxa"/>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e) Sistema de Estrutura Organizacional - SEO:</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É o sistema utilizado pelo Governo Estadual para gerenciar as estruturas organizacionais dos órgãos que compõem o Poder Executivo. Os setores que compõem os Centros de Custos nos quais serão alocadas as despesas de materiais de consumo, e a localização dos bens permanentes,  assim como os titulares dos órgãos e entidades, seguirá os padrões cadastrados no SEO.</w:t>
            </w:r>
          </w:p>
        </w:tc>
      </w:tr>
    </w:tbl>
    <w:p>
      <w:pPr>
        <w:pStyle w:val="Normal1"/>
        <w:spacing w:lineRule="auto" w:line="360"/>
        <w:jc w:val="both"/>
        <w:rPr>
          <w:rFonts w:ascii="Times New Roman" w:hAnsi="Times New Roman" w:eastAsia="Times New Roman" w:cs="Times New Roman"/>
          <w:sz w:val="24"/>
          <w:szCs w:val="24"/>
        </w:rPr>
      </w:pPr>
      <w:commentRangeStart w:id="8"/>
      <w:r>
        <w:rPr>
          <w:rFonts w:eastAsia="Times New Roman" w:cs="Times New Roman" w:ascii="Times New Roman" w:hAnsi="Times New Roman"/>
          <w:sz w:val="24"/>
          <w:szCs w:val="24"/>
        </w:rPr>
        <w:t>Em função das características de integração com outros sistemas corporativos do Governo do Estado, o SIGA/SGBM terá uma estratégia específica de implantação, exigindo o cumprimento de etapas e adoção de procedimentos pré-estabelecidos.</w:t>
      </w:r>
      <w:commentRangeEnd w:id="8"/>
      <w:r>
        <w:commentReference w:id="8"/>
      </w:r>
      <w:r>
        <w:rPr>
          <w:rFonts w:eastAsia="Times New Roman" w:cs="Times New Roman" w:ascii="Times New Roman" w:hAnsi="Times New Roman"/>
          <w:sz w:val="24"/>
          <w:szCs w:val="24"/>
        </w:rPr>
      </w:r>
    </w:p>
    <w:p>
      <w:pPr>
        <w:pStyle w:val="Normal1"/>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24"/>
          <w:szCs w:val="24"/>
        </w:rPr>
      </w:pPr>
      <w:commentRangeStart w:id="9"/>
      <w:r>
        <w:rPr>
          <w:rFonts w:eastAsia="Times New Roman" w:cs="Times New Roman" w:ascii="Times New Roman" w:hAnsi="Times New Roman"/>
          <w:b/>
          <w:smallCaps/>
          <w:sz w:val="24"/>
          <w:szCs w:val="24"/>
        </w:rPr>
        <w:t>1.2) AS FASES E ETAPAS DE IMPLANTAÇÃO DO SIGA/SGBM:</w:t>
      </w:r>
      <w:commentRangeEnd w:id="9"/>
      <w:r>
        <w:commentReference w:id="9"/>
      </w:r>
      <w:r>
        <w:rPr>
          <w:rFonts w:eastAsia="Times New Roman" w:cs="Times New Roman" w:ascii="Times New Roman" w:hAnsi="Times New Roman"/>
          <w:b/>
          <w:smallCaps/>
          <w:sz w:val="24"/>
          <w:szCs w:val="24"/>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jc w:val="both"/>
        <w:rPr>
          <w:rFonts w:ascii="Times New Roman" w:hAnsi="Times New Roman" w:eastAsia="Times New Roman" w:cs="Times New Roman"/>
          <w:sz w:val="24"/>
          <w:szCs w:val="24"/>
        </w:rPr>
      </w:pPr>
      <w:bookmarkStart w:id="3" w:name="_1ksv4uv"/>
      <w:bookmarkEnd w:id="3"/>
      <w:r>
        <w:rPr>
          <w:rFonts w:eastAsia="Times New Roman" w:cs="Times New Roman" w:ascii="Times New Roman" w:hAnsi="Times New Roman"/>
          <w:sz w:val="24"/>
          <w:szCs w:val="24"/>
        </w:rPr>
        <w:t>Toda atividade, da mais simples à mais complexa, necessita de um plano de trabalho para que possa quantificar recursos, dimensionar tempo de conclusão e mobilizar pessoal apto à execução das rotinas operacionais. Com relação à implantação de um sistema não poderia ser diferente, é importante estabelecer um plano de trabalho para que a implantação do sistema possa ser monitorada, e tomar ações corretivas para que seja alcançado o objetivo final dentro das expectativas estabelecidas.</w:t>
      </w:r>
    </w:p>
    <w:p>
      <w:pPr>
        <w:pStyle w:val="Normal1"/>
        <w:spacing w:lineRule="auto" w:line="360"/>
        <w:jc w:val="both"/>
        <w:rPr>
          <w:rFonts w:ascii="Times New Roman" w:hAnsi="Times New Roman" w:eastAsia="Times New Roman" w:cs="Times New Roman"/>
          <w:sz w:val="24"/>
          <w:szCs w:val="24"/>
        </w:rPr>
      </w:pPr>
      <w:commentRangeStart w:id="10"/>
      <w:r>
        <w:rPr>
          <w:rFonts w:eastAsia="Times New Roman" w:cs="Times New Roman" w:ascii="Times New Roman" w:hAnsi="Times New Roman"/>
          <w:sz w:val="24"/>
          <w:szCs w:val="24"/>
        </w:rPr>
        <w:t>Para auxiliar na elaboração de um plano de trabalho, orienta-se que a implantação do SIGA/SGBM seja dividida em etapas e fases para melhor mobilizar os diversos recursos envolvidos. Sugere-se que sejam consideradas as seguintes etapas e fases:</w:t>
      </w:r>
    </w:p>
    <w:p>
      <w:pPr>
        <w:pStyle w:val="Normal1"/>
        <w:spacing w:lineRule="auto" w:line="360" w:before="0" w:after="15"/>
        <w:ind w:left="30" w:right="3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primeira etapa caracteriza-se pela preparação e depuração dos dados que serão inseridos no sistema, de forma que sejam eliminadas as inconsistências e as informações representem a situação real. Nessa ocasião, serão efetuados os inventários e a compatibilização dos itens de materiais identificados com os códigos dos materiais de consumo e permanente constantes no "Sistema de Catálogo de Bens, Materiais e Serviços".</w:t>
      </w:r>
      <w:commentRangeEnd w:id="10"/>
      <w:r>
        <w:commentReference w:id="10"/>
      </w:r>
      <w:r>
        <w:rPr>
          <w:rFonts w:eastAsia="Times New Roman" w:cs="Times New Roman" w:ascii="Times New Roman" w:hAnsi="Times New Roman"/>
          <w:sz w:val="24"/>
          <w:szCs w:val="24"/>
        </w:rPr>
      </w:r>
    </w:p>
    <w:p>
      <w:pPr>
        <w:pStyle w:val="Normal1"/>
        <w:spacing w:lineRule="auto" w:line="360" w:before="0" w:after="120"/>
        <w:ind w:left="28" w:right="28" w:hanging="0"/>
        <w:jc w:val="both"/>
        <w:rPr>
          <w:rFonts w:ascii="Times New Roman" w:hAnsi="Times New Roman" w:eastAsia="Times New Roman" w:cs="Times New Roman"/>
          <w:sz w:val="24"/>
          <w:szCs w:val="24"/>
        </w:rPr>
      </w:pPr>
      <w:commentRangeStart w:id="11"/>
      <w:r>
        <w:rPr>
          <w:rFonts w:eastAsia="Times New Roman" w:cs="Times New Roman" w:ascii="Times New Roman" w:hAnsi="Times New Roman"/>
          <w:sz w:val="24"/>
          <w:szCs w:val="24"/>
        </w:rPr>
        <w:t>As ações a serem desenvolvidas na 1ª etapa estão descritas na tabela a seguir:</w:t>
      </w:r>
      <w:commentRangeEnd w:id="11"/>
      <w:r>
        <w:commentReference w:id="11"/>
      </w:r>
      <w:r>
        <w:rPr>
          <w:rFonts w:eastAsia="Times New Roman" w:cs="Times New Roman" w:ascii="Times New Roman" w:hAnsi="Times New Roman"/>
          <w:sz w:val="24"/>
          <w:szCs w:val="24"/>
        </w:rPr>
      </w:r>
    </w:p>
    <w:tbl>
      <w:tblPr>
        <w:tblStyle w:val="Table2"/>
        <w:tblW w:w="9777" w:type="dxa"/>
        <w:jc w:val="left"/>
        <w:tblInd w:w="0" w:type="dxa"/>
        <w:tblLayout w:type="fixed"/>
        <w:tblCellMar>
          <w:top w:w="0" w:type="dxa"/>
          <w:left w:w="108" w:type="dxa"/>
          <w:bottom w:w="0" w:type="dxa"/>
          <w:right w:w="108" w:type="dxa"/>
        </w:tblCellMar>
        <w:tblLook w:val="0000"/>
      </w:tblPr>
      <w:tblGrid>
        <w:gridCol w:w="1100"/>
        <w:gridCol w:w="8676"/>
      </w:tblGrid>
      <w:tr>
        <w:trPr/>
        <w:tc>
          <w:tcPr>
            <w:tcW w:w="1100" w:type="dxa"/>
            <w:tcBorders>
              <w:top w:val="single" w:sz="4" w:space="0" w:color="000000"/>
              <w:left w:val="single" w:sz="4" w:space="0" w:color="000000"/>
              <w:bottom w:val="single" w:sz="4" w:space="0" w:color="000000"/>
              <w:right w:val="single" w:sz="4" w:space="0" w:color="000000"/>
            </w:tcBorders>
            <w:shd w:fill="B3B3B3" w:val="clear"/>
          </w:tcPr>
          <w:p>
            <w:pPr>
              <w:pStyle w:val="Normal1"/>
              <w:widowControl w:val="false"/>
              <w:spacing w:lineRule="auto" w:line="240"/>
              <w:jc w:val="center"/>
              <w:rPr>
                <w:rFonts w:ascii="Times New Roman" w:hAnsi="Times New Roman" w:eastAsia="Times New Roman" w:cs="Times New Roman"/>
                <w:sz w:val="24"/>
                <w:szCs w:val="24"/>
              </w:rPr>
            </w:pPr>
            <w:commentRangeStart w:id="12"/>
            <w:r>
              <w:rPr>
                <w:rFonts w:eastAsia="Times New Roman" w:cs="Times New Roman" w:ascii="Times New Roman" w:hAnsi="Times New Roman"/>
                <w:b/>
                <w:sz w:val="24"/>
                <w:szCs w:val="24"/>
              </w:rPr>
              <w:t>Fases</w:t>
            </w:r>
          </w:p>
        </w:tc>
        <w:tc>
          <w:tcPr>
            <w:tcW w:w="8676" w:type="dxa"/>
            <w:tcBorders>
              <w:top w:val="single" w:sz="4" w:space="0" w:color="000000"/>
              <w:left w:val="single" w:sz="4" w:space="0" w:color="000000"/>
              <w:bottom w:val="single" w:sz="4" w:space="0" w:color="000000"/>
              <w:right w:val="single" w:sz="4" w:space="0" w:color="000000"/>
            </w:tcBorders>
            <w:shd w:fill="B3B3B3" w:val="clear"/>
          </w:tcPr>
          <w:p>
            <w:pPr>
              <w:pStyle w:val="Normal1"/>
              <w:widowControl w:val="false"/>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Descrição</w:t>
            </w:r>
          </w:p>
        </w:tc>
      </w:tr>
      <w:tr>
        <w:trPr/>
        <w:tc>
          <w:tcPr>
            <w:tcW w:w="11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240"/>
              <w:jc w:val="center"/>
              <w:rPr>
                <w:rFonts w:ascii="Times New Roman" w:hAnsi="Times New Roman" w:eastAsia="Times New Roman" w:cs="Times New Roman"/>
                <w:sz w:val="40"/>
                <w:szCs w:val="40"/>
              </w:rPr>
            </w:pPr>
            <w:r>
              <w:rPr>
                <w:rFonts w:eastAsia="Times New Roman" w:cs="Times New Roman" w:ascii="Times New Roman" w:hAnsi="Times New Roman"/>
                <w:b/>
                <w:sz w:val="40"/>
                <w:szCs w:val="40"/>
              </w:rPr>
              <w:t>1ª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Cadastrar o Organograma.</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Inicialmente, deve ser cadastrada a estrutura de setores do órgão/entidade</w:t>
            </w:r>
            <w:r>
              <w:rPr>
                <w:rFonts w:eastAsia="Times New Roman" w:cs="Times New Roman" w:ascii="Times New Roman" w:hAnsi="Times New Roman"/>
                <w:color w:val="003300"/>
                <w:sz w:val="24"/>
                <w:szCs w:val="24"/>
              </w:rPr>
              <w:t xml:space="preserve">, </w:t>
            </w:r>
            <w:r>
              <w:rPr>
                <w:rFonts w:eastAsia="Times New Roman" w:cs="Times New Roman" w:ascii="Times New Roman" w:hAnsi="Times New Roman"/>
                <w:sz w:val="24"/>
                <w:szCs w:val="24"/>
              </w:rPr>
              <w:t>para isso deve ser encaminhado à SEPLAG Ofício assinado pelo titular do órgão, seguido do Decreto que originou ou alterou a estrutura do órgão/entidade, e o organograma do órgão. Vale ressaltar que poderão ser criados subsetores subordinados aos setores oficialmente definidos em decreto.</w:t>
            </w:r>
          </w:p>
        </w:tc>
      </w:tr>
      <w:tr>
        <w:trPr/>
        <w:tc>
          <w:tcPr>
            <w:tcW w:w="11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240"/>
              <w:jc w:val="center"/>
              <w:rPr>
                <w:rFonts w:ascii="Times New Roman" w:hAnsi="Times New Roman" w:eastAsia="Times New Roman" w:cs="Times New Roman"/>
                <w:sz w:val="40"/>
                <w:szCs w:val="40"/>
              </w:rPr>
            </w:pPr>
            <w:r>
              <w:rPr>
                <w:rFonts w:eastAsia="Times New Roman" w:cs="Times New Roman" w:ascii="Times New Roman" w:hAnsi="Times New Roman"/>
                <w:b/>
                <w:sz w:val="40"/>
                <w:szCs w:val="40"/>
              </w:rPr>
              <w:t>2ª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Cadastrar os itens corporativos de Material de Consumo e Permanente constantes no Sistema de Catálogo de Bens Materiais e Serviços. </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equipe designada para realizar a implantação do SIGA/SGBM deve, preferencialmente, participar deste treinamento ministrado pela SEPLAG/EGPCE e obter as senhas de acesso ao SIGA/SGBM.  Mas nada impede que, de posse das orientações, possa fazê-lo de forma independente.</w:t>
            </w:r>
          </w:p>
          <w:p>
            <w:pPr>
              <w:pStyle w:val="Normal1"/>
              <w:widowControl w:val="false"/>
              <w:spacing w:lineRule="auto" w:line="360" w:before="0" w:after="1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partir das orientações do treinamento, iniciar o cadastramento dos itens de materiais de consumo e materiais permanentes considerados "corporativos", associando o material ao código constante no Sistema de Catálogo de Bens, Materiais e Serviços.</w:t>
            </w:r>
          </w:p>
          <w:p>
            <w:pPr>
              <w:pStyle w:val="Normal1"/>
              <w:widowControl w:val="false"/>
              <w:spacing w:lineRule="auto" w:line="360" w:before="0" w:after="1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ATENÇÃO!</w:t>
            </w:r>
            <w:r>
              <w:rPr>
                <w:rFonts w:eastAsia="Times New Roman" w:cs="Times New Roman" w:ascii="Times New Roman" w:hAnsi="Times New Roman"/>
                <w:sz w:val="24"/>
                <w:szCs w:val="24"/>
              </w:rPr>
              <w:t xml:space="preserve"> A participação do Encarregado da Informática do Órgão e Entidade, na equipe de implantação, é fundamental para que este conheça o SIGA/SGBM, suas funcionalidades e características, de forma a prestar o primeiro suporte ao usuário, assim como intermediar, junto à Seplag, a resolução de problemas que por acaso surgirem com relação ao uso do sistema no órgão/entidade.</w:t>
            </w:r>
          </w:p>
        </w:tc>
      </w:tr>
      <w:tr>
        <w:trPr/>
        <w:tc>
          <w:tcPr>
            <w:tcW w:w="11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240"/>
              <w:jc w:val="center"/>
              <w:rPr>
                <w:rFonts w:ascii="Times New Roman" w:hAnsi="Times New Roman" w:eastAsia="Times New Roman" w:cs="Times New Roman"/>
                <w:sz w:val="40"/>
                <w:szCs w:val="40"/>
              </w:rPr>
            </w:pPr>
            <w:r>
              <w:rPr>
                <w:rFonts w:eastAsia="Times New Roman" w:cs="Times New Roman" w:ascii="Times New Roman" w:hAnsi="Times New Roman"/>
                <w:b/>
                <w:sz w:val="40"/>
                <w:szCs w:val="40"/>
              </w:rPr>
              <w:t>3ª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before="0" w:after="12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Cadastrar os itens específicos incluindo-os no referido Catálogo. </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equipe deve também cadastrar os "itens específicos" de material de consumo e material permanente, verificando em primeiro lugar se tais itens já se encontram no Sistema de Catálogo de Bens, Materiais e Serviços.</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Caso não estejam cadastrados, proceder ao cadastramento por intermédio do SIGA/SGBM, seguindo as orientações da Coordenadoria de Gestão Estratégica de Compras – Cogec da Seplag. A solicitação de inclusão no "Catálogo" poderá ser feita por intermédio do SIGA/SGBM.</w:t>
            </w:r>
          </w:p>
        </w:tc>
      </w:tr>
      <w:tr>
        <w:trPr/>
        <w:tc>
          <w:tcPr>
            <w:tcW w:w="11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240"/>
              <w:jc w:val="center"/>
              <w:rPr>
                <w:rFonts w:ascii="Times New Roman" w:hAnsi="Times New Roman" w:eastAsia="Times New Roman" w:cs="Times New Roman"/>
                <w:sz w:val="24"/>
                <w:szCs w:val="24"/>
              </w:rPr>
            </w:pPr>
            <w:bookmarkStart w:id="4" w:name="_44sinio"/>
            <w:bookmarkEnd w:id="4"/>
            <w:r>
              <w:rPr>
                <w:rFonts w:eastAsia="Times New Roman" w:cs="Times New Roman" w:ascii="Times New Roman" w:hAnsi="Times New Roman"/>
                <w:b/>
                <w:sz w:val="40"/>
                <w:szCs w:val="40"/>
              </w:rPr>
              <w:t>4ª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Cadastrar os responsáveis por setor, assim como os responsáveis pelos bens (especificamente para o controle de patrimônio).</w:t>
            </w:r>
          </w:p>
          <w:p>
            <w:pPr>
              <w:pStyle w:val="Normal1"/>
              <w:widowControl w:val="false"/>
              <w:spacing w:lineRule="auto" w:line="360" w:before="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Uma vez cadastrados todos os itens de material de consumo e material permanente, especificamente para o caso da gestão patrimonial, identificar quem serão os responsáveis por cada setor, quem serão os usuários dos Bens e cadastrá-los no SIGA/SGBM, para posteriormente emitir os Termos de Responsabilidade.</w:t>
            </w:r>
          </w:p>
        </w:tc>
      </w:tr>
      <w:tr>
        <w:trPr/>
        <w:tc>
          <w:tcPr>
            <w:tcW w:w="11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b/>
                <w:sz w:val="40"/>
                <w:szCs w:val="40"/>
              </w:rPr>
              <w:t>5ª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Realizar o inventário físico, e conciliar o resultado do inventário com o registro de controle (registro escritural).</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Uma vez cadastrados todos os itens de material de consumo e material permanente, realizar o inventário físico, conciliando o resultado da contagem do inventário com os registros escriturais do controle de estoque e do controle do patrimônio, sejam tais registros informatizados ou manuais. No final desse processo, apurar o saldo físico de cada item e, no caso do patrimônio, identificar a sua respectiva localização e responsabilidade.</w:t>
            </w:r>
          </w:p>
        </w:tc>
      </w:tr>
    </w:tbl>
    <w:p>
      <w:pPr>
        <w:pStyle w:val="Normal1"/>
        <w:spacing w:lineRule="auto" w:line="240"/>
        <w:rPr>
          <w:rFonts w:ascii="Times New Roman" w:hAnsi="Times New Roman" w:eastAsia="Times New Roman" w:cs="Times New Roman"/>
          <w:sz w:val="24"/>
          <w:szCs w:val="24"/>
        </w:rPr>
      </w:pPr>
      <w:commentRangeEnd w:id="12"/>
      <w:r>
        <w:commentReference w:id="12"/>
      </w:r>
      <w:r>
        <w:rPr/>
      </w:r>
    </w:p>
    <w:p>
      <w:pPr>
        <w:pStyle w:val="Normal1"/>
        <w:spacing w:lineRule="auto" w:line="360"/>
        <w:jc w:val="both"/>
        <w:rPr>
          <w:rFonts w:ascii="Times New Roman" w:hAnsi="Times New Roman" w:eastAsia="Times New Roman" w:cs="Times New Roman"/>
          <w:sz w:val="24"/>
          <w:szCs w:val="24"/>
        </w:rPr>
      </w:pPr>
      <w:commentRangeStart w:id="13"/>
      <w:r>
        <w:rPr>
          <w:rFonts w:eastAsia="Times New Roman" w:cs="Times New Roman" w:ascii="Times New Roman" w:hAnsi="Times New Roman"/>
          <w:sz w:val="24"/>
          <w:szCs w:val="24"/>
        </w:rPr>
        <w:t>A segunda etapa caracteriza-se pelo lançamento dos saldos de material de consumo e permanente, ou seja, o quantitativo de cada código cadastrado no SIGA/SGBM.</w:t>
      </w:r>
      <w:commentRangeEnd w:id="13"/>
      <w:r>
        <w:commentReference w:id="13"/>
      </w:r>
      <w:r>
        <w:rPr>
          <w:rFonts w:eastAsia="Times New Roman" w:cs="Times New Roman" w:ascii="Times New Roman" w:hAnsi="Times New Roman"/>
          <w:sz w:val="24"/>
          <w:szCs w:val="24"/>
        </w:rPr>
      </w:r>
    </w:p>
    <w:tbl>
      <w:tblPr>
        <w:tblStyle w:val="Table3"/>
        <w:tblW w:w="9777" w:type="dxa"/>
        <w:jc w:val="left"/>
        <w:tblInd w:w="0" w:type="dxa"/>
        <w:tblLayout w:type="fixed"/>
        <w:tblCellMar>
          <w:top w:w="0" w:type="dxa"/>
          <w:left w:w="108" w:type="dxa"/>
          <w:bottom w:w="0" w:type="dxa"/>
          <w:right w:w="108" w:type="dxa"/>
        </w:tblCellMar>
        <w:tblLook w:val="0000"/>
      </w:tblPr>
      <w:tblGrid>
        <w:gridCol w:w="1100"/>
        <w:gridCol w:w="8676"/>
      </w:tblGrid>
      <w:tr>
        <w:trPr/>
        <w:tc>
          <w:tcPr>
            <w:tcW w:w="1100" w:type="dxa"/>
            <w:tcBorders>
              <w:top w:val="single" w:sz="4" w:space="0" w:color="000000"/>
              <w:left w:val="single" w:sz="4" w:space="0" w:color="000000"/>
              <w:bottom w:val="single" w:sz="4" w:space="0" w:color="000000"/>
              <w:right w:val="single" w:sz="4" w:space="0" w:color="000000"/>
            </w:tcBorders>
            <w:shd w:fill="B3B3B3" w:val="clear"/>
          </w:tcPr>
          <w:p>
            <w:pPr>
              <w:pStyle w:val="Normal1"/>
              <w:widowControl w:val="false"/>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Fase</w:t>
            </w:r>
          </w:p>
        </w:tc>
        <w:tc>
          <w:tcPr>
            <w:tcW w:w="8676" w:type="dxa"/>
            <w:tcBorders>
              <w:top w:val="single" w:sz="4" w:space="0" w:color="000000"/>
              <w:left w:val="single" w:sz="4" w:space="0" w:color="000000"/>
              <w:bottom w:val="single" w:sz="4" w:space="0" w:color="000000"/>
              <w:right w:val="single" w:sz="4" w:space="0" w:color="000000"/>
            </w:tcBorders>
            <w:shd w:fill="B3B3B3" w:val="clear"/>
          </w:tcPr>
          <w:p>
            <w:pPr>
              <w:pStyle w:val="Normal1"/>
              <w:widowControl w:val="false"/>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Descrição</w:t>
            </w:r>
          </w:p>
        </w:tc>
      </w:tr>
      <w:tr>
        <w:trPr/>
        <w:tc>
          <w:tcPr>
            <w:tcW w:w="1100"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jc w:val="center"/>
              <w:rPr>
                <w:rFonts w:ascii="Times New Roman" w:hAnsi="Times New Roman" w:eastAsia="Times New Roman" w:cs="Times New Roman"/>
                <w:sz w:val="24"/>
                <w:szCs w:val="24"/>
              </w:rPr>
            </w:pPr>
            <w:commentRangeStart w:id="14"/>
            <w:r>
              <w:rPr>
                <w:rFonts w:eastAsia="Times New Roman" w:cs="Times New Roman" w:ascii="Times New Roman" w:hAnsi="Times New Roman"/>
                <w:b/>
                <w:sz w:val="40"/>
                <w:szCs w:val="40"/>
              </w:rPr>
              <w:t>6ª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Transferir os saldos físicos para o SIGA/SGBM. </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Quando o controle do estoque e do patrimônio  for manual,  efetuar a transferência para o SIGA/SGBM por intermédio da digitação das quantidades e informações individualizadas de cada item de estoque e cada item de patrimônio.</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 Quando o controle de estoque e de patrimônio for informatizado, efetuar a  transferência para o SIGA/SGBM por meio de uma planilha </w:t>
            </w:r>
            <w:r>
              <w:rPr>
                <w:rFonts w:eastAsia="Times New Roman" w:cs="Times New Roman" w:ascii="Times New Roman" w:hAnsi="Times New Roman"/>
                <w:b/>
                <w:sz w:val="24"/>
                <w:szCs w:val="24"/>
              </w:rPr>
              <w:t>DE &amp; PARA</w:t>
            </w:r>
            <w:r>
              <w:rPr>
                <w:rFonts w:eastAsia="Times New Roman" w:cs="Times New Roman" w:ascii="Times New Roman" w:hAnsi="Times New Roman"/>
                <w:sz w:val="24"/>
                <w:szCs w:val="24"/>
              </w:rPr>
              <w:t>, gerada pelo Sistema de  Estoque e/ou Patrimônio que está sendo substituído.</w:t>
            </w:r>
          </w:p>
        </w:tc>
      </w:tr>
      <w:tr>
        <w:trPr/>
        <w:tc>
          <w:tcPr>
            <w:tcW w:w="11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240"/>
              <w:jc w:val="center"/>
              <w:rPr>
                <w:rFonts w:ascii="Times New Roman" w:hAnsi="Times New Roman" w:eastAsia="Times New Roman" w:cs="Times New Roman"/>
                <w:sz w:val="24"/>
                <w:szCs w:val="24"/>
              </w:rPr>
            </w:pPr>
            <w:r>
              <w:rPr/>
            </w:r>
            <w:commentRangeStart w:id="15"/>
            <w:commentRangeEnd w:id="14"/>
            <w:r>
              <w:commentReference w:id="14"/>
            </w:r>
            <w:commentRangeEnd w:id="15"/>
            <w:r>
              <w:commentReference w:id="15"/>
            </w:r>
            <w:r>
              <w:rPr>
                <w:rFonts w:eastAsia="Times New Roman" w:cs="Times New Roman" w:ascii="Times New Roman" w:hAnsi="Times New Roman"/>
                <w:b/>
                <w:sz w:val="40"/>
                <w:szCs w:val="40"/>
              </w:rPr>
              <w:t>7ª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Tratar as pendências de inventário (especificamente para o patrimônio).</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 7ª ação se refere especificamente aos itens de patrimônio, à medida que é encerrado o inventário, o SIGA/SGBM calcula a depreciação dos bens cuja aquisição ocorreu a partir de Janeiro de 2013 e atualizará o valor líquido contábil do bem. Para aqueles bens que foram adquiridos antes de Janeiro de 2013, e aqueles que não foram informados Nº e Data de Nota Fiscal, Valor do bem e Nº da Nota de Empenho, o SIGA/SGBM emitirá um Relatório especificando estes bens para que sejam reavaliados pela Comissão Inventariante. </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Os bens após serem avaliados pela Comissão Inventariante terão seus valores definidos juntamente com a </w:t>
            </w:r>
            <w:r>
              <w:rPr>
                <w:rFonts w:eastAsia="Times New Roman" w:cs="Times New Roman" w:ascii="Times New Roman" w:hAnsi="Times New Roman"/>
                <w:b/>
                <w:sz w:val="24"/>
                <w:szCs w:val="24"/>
              </w:rPr>
              <w:t>"vida útil"</w:t>
            </w:r>
            <w:r>
              <w:rPr>
                <w:rFonts w:eastAsia="Times New Roman" w:cs="Times New Roman" w:ascii="Times New Roman" w:hAnsi="Times New Roman"/>
                <w:sz w:val="24"/>
                <w:szCs w:val="24"/>
              </w:rPr>
              <w:t xml:space="preserve"> remanescente expressa em anos, e o novo percentual para o </w:t>
            </w:r>
            <w:r>
              <w:rPr>
                <w:rFonts w:eastAsia="Times New Roman" w:cs="Times New Roman" w:ascii="Times New Roman" w:hAnsi="Times New Roman"/>
                <w:b/>
                <w:sz w:val="24"/>
                <w:szCs w:val="24"/>
              </w:rPr>
              <w:t>"valor residual"</w:t>
            </w:r>
            <w:r>
              <w:rPr>
                <w:rFonts w:eastAsia="Times New Roman" w:cs="Times New Roman" w:ascii="Times New Roman" w:hAnsi="Times New Roman"/>
                <w:sz w:val="24"/>
                <w:szCs w:val="24"/>
              </w:rPr>
              <w:t>. Tais informações serão retroalimentadas no SIGA/SGBM.</w:t>
            </w:r>
          </w:p>
        </w:tc>
      </w:tr>
      <w:tr>
        <w:trPr/>
        <w:tc>
          <w:tcPr>
            <w:tcW w:w="11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240"/>
              <w:jc w:val="center"/>
              <w:rPr>
                <w:rFonts w:ascii="Times New Roman" w:hAnsi="Times New Roman" w:eastAsia="Times New Roman" w:cs="Times New Roman"/>
                <w:sz w:val="24"/>
                <w:szCs w:val="24"/>
              </w:rPr>
            </w:pPr>
            <w:r>
              <w:rPr/>
              <w:commentReference w:id="16"/>
            </w:r>
            <w:commentRangeStart w:id="17"/>
            <w:commentRangeStart w:id="18"/>
            <w:commentRangeEnd w:id="17"/>
            <w:r>
              <w:commentReference w:id="17"/>
            </w:r>
            <w:commentRangeEnd w:id="18"/>
            <w:r>
              <w:commentReference w:id="18"/>
            </w:r>
            <w:r>
              <w:rPr>
                <w:rFonts w:eastAsia="Times New Roman" w:cs="Times New Roman" w:ascii="Times New Roman" w:hAnsi="Times New Roman"/>
                <w:b/>
                <w:sz w:val="40"/>
                <w:szCs w:val="40"/>
              </w:rPr>
              <w:t>8ª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Terminar a migração e efetuar o fechamento mensal de cada mês (especificamente para o patrimônio).</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Ao término do registro dos itens que foram avaliados pela Comissão Inventariante, terminar a migração no sistema e efetuar o</w:t>
            </w:r>
            <w:r>
              <w:rPr>
                <w:rFonts w:eastAsia="Times New Roman" w:cs="Times New Roman" w:ascii="Times New Roman" w:hAnsi="Times New Roman"/>
                <w:b/>
                <w:sz w:val="24"/>
                <w:szCs w:val="24"/>
              </w:rPr>
              <w:t xml:space="preserve"> fechamento mensal</w:t>
            </w:r>
            <w:r>
              <w:rPr>
                <w:rFonts w:eastAsia="Times New Roman" w:cs="Times New Roman" w:ascii="Times New Roman" w:hAnsi="Times New Roman"/>
                <w:sz w:val="24"/>
                <w:szCs w:val="24"/>
              </w:rPr>
              <w:t xml:space="preserve"> de cada mês, caso o processo de registro dos saldos no SIGA/SGBM tenha durado mais de um mês, de forma que seja calculada a depreciação dos meses subsequentes. </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Ao finalizar o registro dos saldos, emitir o Relatório Resultado da Migração com o valor contábil ajustado para todos os bens móveis do acervo patrimonial do órgão/entidade.</w:t>
            </w:r>
          </w:p>
        </w:tc>
      </w:tr>
      <w:tr>
        <w:trPr/>
        <w:tc>
          <w:tcPr>
            <w:tcW w:w="11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240"/>
              <w:jc w:val="center"/>
              <w:rPr>
                <w:rFonts w:ascii="Times New Roman" w:hAnsi="Times New Roman" w:eastAsia="Times New Roman" w:cs="Times New Roman"/>
                <w:sz w:val="24"/>
                <w:szCs w:val="24"/>
              </w:rPr>
            </w:pPr>
            <w:r>
              <w:rPr/>
              <w:commentReference w:id="19"/>
            </w:r>
            <w:commentRangeStart w:id="20"/>
            <w:commentRangeEnd w:id="20"/>
            <w:r>
              <w:commentReference w:id="20"/>
            </w:r>
            <w:r>
              <w:rPr>
                <w:rFonts w:eastAsia="Times New Roman" w:cs="Times New Roman" w:ascii="Times New Roman" w:hAnsi="Times New Roman"/>
                <w:b/>
                <w:sz w:val="40"/>
                <w:szCs w:val="40"/>
              </w:rPr>
              <w:t>9ª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Emitir os Termos de Responsabilidade junto aos usuários dos bens (especificamente para o patrimônio).</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Providenciar, à medida que são atribuídas as responsabilidades sobre os bens no SIGA/SGBM, a emissão e assinatura dos Termos de Responsabilidade.</w:t>
            </w:r>
          </w:p>
        </w:tc>
      </w:tr>
    </w:tbl>
    <w:p>
      <w:pPr>
        <w:pStyle w:val="Normal1"/>
        <w:spacing w:lineRule="auto" w:line="360" w:before="0" w:after="240"/>
        <w:jc w:val="both"/>
        <w:rPr>
          <w:rFonts w:ascii="Times New Roman" w:hAnsi="Times New Roman" w:eastAsia="Times New Roman" w:cs="Times New Roman"/>
          <w:sz w:val="24"/>
          <w:szCs w:val="24"/>
        </w:rPr>
      </w:pPr>
      <w:commentRangeStart w:id="21"/>
      <w:r>
        <w:rPr>
          <w:rFonts w:eastAsia="Times New Roman" w:cs="Times New Roman" w:ascii="Times New Roman" w:hAnsi="Times New Roman"/>
          <w:sz w:val="24"/>
          <w:szCs w:val="24"/>
        </w:rPr>
        <w:t>A terceira etapa caracteriza-se pelo cadastramento e acesso dos requisitantes, e a capacitação dos demais usuários envolvidos na gestão de estoque e gestão patrimonial.</w:t>
      </w:r>
      <w:commentRangeEnd w:id="21"/>
      <w:r>
        <w:commentReference w:id="21"/>
      </w:r>
      <w:r>
        <w:rPr>
          <w:rFonts w:eastAsia="Times New Roman" w:cs="Times New Roman" w:ascii="Times New Roman" w:hAnsi="Times New Roman"/>
          <w:sz w:val="24"/>
          <w:szCs w:val="24"/>
        </w:rPr>
      </w:r>
    </w:p>
    <w:tbl>
      <w:tblPr>
        <w:tblStyle w:val="Table4"/>
        <w:tblW w:w="9777" w:type="dxa"/>
        <w:jc w:val="center"/>
        <w:tblInd w:w="0" w:type="dxa"/>
        <w:tblLayout w:type="fixed"/>
        <w:tblCellMar>
          <w:top w:w="0" w:type="dxa"/>
          <w:left w:w="108" w:type="dxa"/>
          <w:bottom w:w="0" w:type="dxa"/>
          <w:right w:w="108" w:type="dxa"/>
        </w:tblCellMar>
        <w:tblLook w:val="0000"/>
      </w:tblPr>
      <w:tblGrid>
        <w:gridCol w:w="1100"/>
        <w:gridCol w:w="8676"/>
      </w:tblGrid>
      <w:tr>
        <w:trPr/>
        <w:tc>
          <w:tcPr>
            <w:tcW w:w="1100" w:type="dxa"/>
            <w:tcBorders>
              <w:top w:val="single" w:sz="4" w:space="0" w:color="000000"/>
              <w:left w:val="single" w:sz="4" w:space="0" w:color="000000"/>
              <w:bottom w:val="single" w:sz="4" w:space="0" w:color="000000"/>
              <w:right w:val="single" w:sz="4" w:space="0" w:color="000000"/>
            </w:tcBorders>
            <w:shd w:fill="B3B3B3" w:val="clear"/>
          </w:tcPr>
          <w:p>
            <w:pPr>
              <w:pStyle w:val="Normal1"/>
              <w:widowControl w:val="false"/>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Fase</w:t>
            </w:r>
          </w:p>
        </w:tc>
        <w:tc>
          <w:tcPr>
            <w:tcW w:w="8676" w:type="dxa"/>
            <w:tcBorders>
              <w:top w:val="single" w:sz="4" w:space="0" w:color="000000"/>
              <w:left w:val="single" w:sz="4" w:space="0" w:color="000000"/>
              <w:bottom w:val="single" w:sz="4" w:space="0" w:color="000000"/>
              <w:right w:val="single" w:sz="4" w:space="0" w:color="000000"/>
            </w:tcBorders>
            <w:shd w:fill="B3B3B3" w:val="clear"/>
          </w:tcPr>
          <w:p>
            <w:pPr>
              <w:pStyle w:val="Normal1"/>
              <w:widowControl w:val="false"/>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Descrição</w:t>
            </w:r>
          </w:p>
        </w:tc>
      </w:tr>
      <w:tr>
        <w:trPr/>
        <w:tc>
          <w:tcPr>
            <w:tcW w:w="11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240"/>
              <w:jc w:val="center"/>
              <w:rPr>
                <w:rFonts w:ascii="Times New Roman" w:hAnsi="Times New Roman" w:eastAsia="Times New Roman" w:cs="Times New Roman"/>
                <w:sz w:val="24"/>
                <w:szCs w:val="24"/>
              </w:rPr>
            </w:pPr>
            <w:commentRangeStart w:id="22"/>
            <w:r>
              <w:rPr>
                <w:rFonts w:eastAsia="Times New Roman" w:cs="Times New Roman" w:ascii="Times New Roman" w:hAnsi="Times New Roman"/>
                <w:b/>
                <w:sz w:val="40"/>
                <w:szCs w:val="40"/>
              </w:rPr>
              <w:t>10ª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Cadastrar os usuários requisitantes.</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Uma vez terminada a segunda etapa de implantação, elaborar a relação de usuários requisitantes que serão  cadastrados no SIGA/SGBM, vale ressaltar que o cadastramento se dará a partir da relação de setores anteriormente cadastrada, sendo cada</w:t>
            </w:r>
            <w:r>
              <w:rPr>
                <w:sz w:val="24"/>
                <w:szCs w:val="24"/>
              </w:rPr>
              <w:t xml:space="preserve"> </w:t>
            </w:r>
            <w:r>
              <w:rPr>
                <w:rFonts w:eastAsia="Times New Roman" w:cs="Times New Roman" w:ascii="Times New Roman" w:hAnsi="Times New Roman"/>
                <w:sz w:val="24"/>
                <w:szCs w:val="24"/>
              </w:rPr>
              <w:t>usuário lotado em um determinado setor.  Identificar em cada Setor pelo menos dois usuários requisitantes, de forma que na ausência de um requisitante o outro possa efetuar as requisições pelo Setor.</w:t>
            </w:r>
          </w:p>
        </w:tc>
      </w:tr>
      <w:tr>
        <w:trPr/>
        <w:tc>
          <w:tcPr>
            <w:tcW w:w="11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360"/>
              <w:jc w:val="center"/>
              <w:rPr>
                <w:rFonts w:ascii="Times New Roman" w:hAnsi="Times New Roman" w:eastAsia="Times New Roman" w:cs="Times New Roman"/>
                <w:sz w:val="24"/>
                <w:szCs w:val="24"/>
              </w:rPr>
            </w:pPr>
            <w:r>
              <w:rPr/>
            </w:r>
            <w:commentRangeEnd w:id="22"/>
            <w:r>
              <w:commentReference w:id="22"/>
            </w:r>
            <w:r>
              <w:rPr>
                <w:rFonts w:eastAsia="Times New Roman" w:cs="Times New Roman" w:ascii="Times New Roman" w:hAnsi="Times New Roman"/>
                <w:b/>
                <w:sz w:val="40"/>
                <w:szCs w:val="40"/>
              </w:rPr>
              <w:t>11ª</w:t>
            </w:r>
          </w:p>
        </w:tc>
        <w:tc>
          <w:tcPr>
            <w:tcW w:w="8676"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Capacitar os requisitantes a efetuarem as requisições no SIGA/SGBM.</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Demonstrar como os usuários devem proceder para fazerem suas requisições de material de consumo e material permanente.</w:t>
            </w:r>
          </w:p>
        </w:tc>
      </w:tr>
    </w:tbl>
    <w:p>
      <w:pPr>
        <w:pStyle w:val="Normal1"/>
        <w:spacing w:lineRule="auto" w:line="240"/>
        <w:rPr>
          <w:rFonts w:ascii="Times New Roman" w:hAnsi="Times New Roman" w:eastAsia="Times New Roman" w:cs="Times New Roman"/>
          <w:sz w:val="24"/>
          <w:szCs w:val="24"/>
        </w:rPr>
      </w:pPr>
      <w:r>
        <w:br w:type="page"/>
      </w:r>
      <w:r>
        <w:rPr>
          <w:rFonts w:eastAsia="Times New Roman" w:cs="Times New Roman" w:ascii="Times New Roman" w:hAnsi="Times New Roman"/>
          <w:sz w:val="24"/>
          <w:szCs w:val="24"/>
        </w:rPr>
        <w:t>0</w:t>
      </w:r>
      <w:commentRangeStart w:id="23"/>
      <w:commentRangeEnd w:id="23"/>
      <w:r>
        <w:commentReference w:id="23"/>
      </w:r>
      <w:r>
        <w:rPr>
          <w:rFonts w:eastAsia="Times New Roman" w:cs="Times New Roman" w:ascii="Times New Roman" w:hAnsi="Times New Roman"/>
          <w:b/>
          <w:sz w:val="24"/>
          <w:szCs w:val="24"/>
        </w:rPr>
        <w:t>1.3) CADASTRAR ORGANOGRAMA:</w:t>
      </w:r>
    </w:p>
    <w:p>
      <w:pPr>
        <w:pStyle w:val="Normal1"/>
        <w:spacing w:lineRule="auto" w:line="240"/>
        <w:rPr>
          <w:rFonts w:ascii="Times New Roman" w:hAnsi="Times New Roman" w:eastAsia="Times New Roman" w:cs="Times New Roman"/>
          <w:sz w:val="24"/>
          <w:szCs w:val="24"/>
        </w:rPr>
      </w:pPr>
      <w:commentRangeStart w:id="25"/>
      <w:commentRangeEnd w:id="25"/>
      <w:r>
        <w:commentReference w:id="25"/>
      </w:r>
      <w:r>
        <w:rPr/>
        <w:commentReference w:id="24"/>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Os materiais de consumo e materiais permanentes, à medida que são requisitados do estoque, serão alocados a setores da estrutura organizacional do órgão para apuração de consumo e localização física dos bens. Em função disso, faz-se necessário o cadastramento do organograma do órgão no </w:t>
      </w:r>
      <w:r>
        <w:rPr>
          <w:rFonts w:eastAsia="Times New Roman" w:cs="Times New Roman" w:ascii="Times New Roman" w:hAnsi="Times New Roman"/>
          <w:smallCaps/>
          <w:sz w:val="24"/>
          <w:szCs w:val="24"/>
        </w:rPr>
        <w:t>SIGA/SGBM</w:t>
      </w:r>
      <w:r>
        <w:rPr>
          <w:rFonts w:eastAsia="Times New Roman" w:cs="Times New Roman" w:ascii="Times New Roman" w:hAnsi="Times New Roman"/>
          <w:sz w:val="24"/>
          <w:szCs w:val="24"/>
        </w:rPr>
        <w:t>, uma vez que cada usuário requisitante deverá estar lotado em um determinado setor.</w:t>
      </w:r>
    </w:p>
    <w:p>
      <w:pPr>
        <w:pStyle w:val="Normal1"/>
        <w:spacing w:lineRule="auto" w:line="360" w:before="0" w:after="120"/>
        <w:jc w:val="both"/>
        <w:rPr>
          <w:rFonts w:ascii="Times New Roman" w:hAnsi="Times New Roman" w:eastAsia="Times New Roman" w:cs="Times New Roman"/>
          <w:sz w:val="24"/>
          <w:szCs w:val="24"/>
        </w:rPr>
      </w:pPr>
      <w:commentRangeStart w:id="26"/>
      <w:r>
        <w:rPr>
          <w:rFonts w:eastAsia="Times New Roman" w:cs="Times New Roman" w:ascii="Times New Roman" w:hAnsi="Times New Roman"/>
          <w:sz w:val="24"/>
          <w:szCs w:val="24"/>
        </w:rPr>
        <w:t xml:space="preserve">Para cadastrar o organograma do órgão, deverá ser encaminhado à Coordenadoria de Gestão Patrimonial e Recursos Logísticos - Copat/Seplag um "Processo Administrativo" protocolado no Viproc instruído com: </w:t>
      </w:r>
      <w:commentRangeEnd w:id="26"/>
      <w:r>
        <w:commentReference w:id="26"/>
      </w:r>
      <w:r>
        <w:rPr>
          <w:rFonts w:eastAsia="Times New Roman" w:cs="Times New Roman" w:ascii="Times New Roman" w:hAnsi="Times New Roman"/>
          <w:sz w:val="24"/>
          <w:szCs w:val="24"/>
        </w:rPr>
      </w:r>
    </w:p>
    <w:p>
      <w:pPr>
        <w:pStyle w:val="Normal1"/>
        <w:spacing w:lineRule="auto" w:line="360"/>
        <w:jc w:val="both"/>
        <w:rPr>
          <w:rFonts w:ascii="Times New Roman" w:hAnsi="Times New Roman" w:eastAsia="Times New Roman" w:cs="Times New Roman"/>
          <w:sz w:val="24"/>
          <w:szCs w:val="24"/>
        </w:rPr>
      </w:pPr>
      <w:commentRangeStart w:id="27"/>
      <w:r>
        <w:rPr>
          <w:rFonts w:eastAsia="Times New Roman" w:cs="Times New Roman" w:ascii="Times New Roman" w:hAnsi="Times New Roman"/>
          <w:sz w:val="24"/>
          <w:szCs w:val="24"/>
        </w:rPr>
        <w:t>a) Ofício do titular do órgão.</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 Decreto de criação do órgão.</w:t>
      </w:r>
    </w:p>
    <w:p>
      <w:pPr>
        <w:pStyle w:val="Normal1"/>
        <w:spacing w:lineRule="auto" w:line="360" w:before="0" w:after="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 Organograma.</w:t>
      </w:r>
      <w:commentRangeEnd w:id="27"/>
      <w:r>
        <w:commentReference w:id="27"/>
      </w:r>
      <w:r>
        <w:rPr>
          <w:rFonts w:eastAsia="Times New Roman" w:cs="Times New Roman" w:ascii="Times New Roman" w:hAnsi="Times New Roman"/>
          <w:sz w:val="24"/>
          <w:szCs w:val="24"/>
        </w:rPr>
      </w:r>
    </w:p>
    <w:p>
      <w:pPr>
        <w:pStyle w:val="Normal1"/>
        <w:spacing w:lineRule="auto" w:line="360"/>
        <w:jc w:val="both"/>
        <w:rPr>
          <w:sz w:val="24"/>
          <w:szCs w:val="24"/>
        </w:rPr>
      </w:pPr>
      <w:commentRangeStart w:id="28"/>
      <w:r>
        <w:rPr>
          <w:rFonts w:eastAsia="Times New Roman" w:cs="Times New Roman" w:ascii="Times New Roman" w:hAnsi="Times New Roman"/>
          <w:sz w:val="24"/>
          <w:szCs w:val="24"/>
        </w:rPr>
        <w:t>Toda alteração na estrutura deverá ser previamente informada por intermédio de processo administrativo. Para orientações adicionais sobre a criação de setores no SIGA/SGBM, contactar o atendimento operacional pelos telefones: (85)3101-7801, (85)3101-7816, (85)3101-3829 ou e-mail: atendimento@seplag.ce.gov.br</w:t>
      </w:r>
      <w:r>
        <w:rPr>
          <w:sz w:val="24"/>
          <w:szCs w:val="24"/>
        </w:rPr>
        <w:t>.</w:t>
      </w:r>
      <w:commentRangeEnd w:id="28"/>
      <w:r>
        <w:commentReference w:id="28"/>
      </w:r>
      <w:r>
        <w:rPr>
          <w:sz w:val="24"/>
          <w:szCs w:val="24"/>
        </w:rPr>
      </w:r>
    </w:p>
    <w:p>
      <w:pPr>
        <w:pStyle w:val="Normal1"/>
        <w:spacing w:lineRule="auto" w:line="360"/>
        <w:jc w:val="both"/>
        <w:rPr>
          <w:sz w:val="24"/>
          <w:szCs w:val="24"/>
        </w:rPr>
      </w:pPr>
      <w:r>
        <w:rPr>
          <w:sz w:val="24"/>
          <w:szCs w:val="24"/>
        </w:rPr>
      </w:r>
    </w:p>
    <w:p>
      <w:pPr>
        <w:pStyle w:val="Normal1"/>
        <w:spacing w:lineRule="auto" w:line="360"/>
        <w:jc w:val="both"/>
        <w:rPr>
          <w:rFonts w:ascii="Times New Roman" w:hAnsi="Times New Roman" w:eastAsia="Times New Roman" w:cs="Times New Roman"/>
          <w:sz w:val="24"/>
          <w:szCs w:val="24"/>
        </w:rPr>
      </w:pPr>
      <w:commentRangeStart w:id="29"/>
      <w:r>
        <w:rPr>
          <w:rFonts w:eastAsia="Times New Roman" w:cs="Times New Roman" w:ascii="Times New Roman" w:hAnsi="Times New Roman"/>
          <w:b/>
          <w:sz w:val="24"/>
          <w:szCs w:val="24"/>
        </w:rPr>
        <w:t>1.4) SOLICITAR ACESSO AO SISTEMA:</w:t>
      </w:r>
      <w:commentRangeEnd w:id="29"/>
      <w:r>
        <w:commentReference w:id="29"/>
      </w:r>
      <w:r>
        <w:rPr>
          <w:rFonts w:eastAsia="Times New Roman" w:cs="Times New Roman" w:ascii="Times New Roman" w:hAnsi="Times New Roman"/>
          <w:b/>
          <w:sz w:val="24"/>
          <w:szCs w:val="24"/>
        </w:rPr>
      </w:r>
    </w:p>
    <w:tbl>
      <w:tblPr>
        <w:tblStyle w:val="Table5"/>
        <w:tblW w:w="9777" w:type="dxa"/>
        <w:jc w:val="left"/>
        <w:tblInd w:w="0" w:type="dxa"/>
        <w:tblLayout w:type="fixed"/>
        <w:tblCellMar>
          <w:top w:w="0" w:type="dxa"/>
          <w:left w:w="108" w:type="dxa"/>
          <w:bottom w:w="0" w:type="dxa"/>
          <w:right w:w="108" w:type="dxa"/>
        </w:tblCellMar>
        <w:tblLook w:val="0000"/>
      </w:tblPr>
      <w:tblGrid>
        <w:gridCol w:w="1709"/>
        <w:gridCol w:w="8067"/>
      </w:tblGrid>
      <w:tr>
        <w:trPr/>
        <w:tc>
          <w:tcPr>
            <w:tcW w:w="1709" w:type="dxa"/>
            <w:tcBorders/>
          </w:tcPr>
          <w:p>
            <w:pPr>
              <w:pStyle w:val="Normal1"/>
              <w:widowControl w:val="false"/>
              <w:spacing w:lineRule="auto" w:line="360"/>
              <w:jc w:val="both"/>
              <w:rPr>
                <w:rFonts w:ascii="Times New Roman" w:hAnsi="Times New Roman" w:eastAsia="Times New Roman" w:cs="Times New Roman"/>
                <w:sz w:val="24"/>
                <w:szCs w:val="24"/>
              </w:rPr>
            </w:pPr>
            <w:r>
              <w:rPr/>
              <w:drawing>
                <wp:inline distT="0" distB="0" distL="0" distR="0">
                  <wp:extent cx="838835" cy="838200"/>
                  <wp:effectExtent l="0" t="0" r="0" b="0"/>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7"/>
                          <a:stretch>
                            <a:fillRect/>
                          </a:stretch>
                        </pic:blipFill>
                        <pic:spPr bwMode="auto">
                          <a:xfrm>
                            <a:off x="0" y="0"/>
                            <a:ext cx="838835" cy="838200"/>
                          </a:xfrm>
                          <a:prstGeom prst="rect">
                            <a:avLst/>
                          </a:prstGeom>
                        </pic:spPr>
                      </pic:pic>
                    </a:graphicData>
                  </a:graphic>
                </wp:inline>
              </w:drawing>
            </w:r>
          </w:p>
        </w:tc>
        <w:tc>
          <w:tcPr>
            <w:tcW w:w="8067" w:type="dxa"/>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 SIGA/SGBM é um sistema corporativo acessado por intermédio da internet, não sendo necessário ser instalado na rede de computadores local do órgão/entidade. Essa característica permite a padronização de procedimentos operacionais e a atualização permanente do sistema na ocorrência de novas práticas estabelecidas por legislação ou por mudanças no processo operacional.</w:t>
            </w:r>
          </w:p>
        </w:tc>
      </w:tr>
      <w:tr>
        <w:trPr/>
        <w:tc>
          <w:tcPr>
            <w:tcW w:w="9776" w:type="dxa"/>
            <w:gridSpan w:val="2"/>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 sistema também permite acesso individualizado por intermédio de "login e senha", conforme o "perfil" do usuário. Cada "perfil" reúne uma série de funcionalidades adequadas às características operacionais e nível hierárquico do usuário. Um usuário pode ter apenas um "perfil" por versão no SIGA/SGBM.</w:t>
            </w:r>
          </w:p>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 SIGA/SGBM atualmente está sendo atualizado e encontra-se com duas versões em funcionamento: </w:t>
            </w:r>
            <w:r>
              <w:rPr>
                <w:rFonts w:eastAsia="Times New Roman" w:cs="Times New Roman" w:ascii="Times New Roman" w:hAnsi="Times New Roman"/>
                <w:b/>
                <w:sz w:val="24"/>
                <w:szCs w:val="24"/>
              </w:rPr>
              <w:t>Versão 2</w:t>
            </w:r>
            <w:r>
              <w:rPr>
                <w:rFonts w:eastAsia="Times New Roman" w:cs="Times New Roman" w:ascii="Times New Roman" w:hAnsi="Times New Roman"/>
                <w:sz w:val="24"/>
                <w:szCs w:val="24"/>
              </w:rPr>
              <w:t xml:space="preserve"> - suportando o processo de controle de almoxarifado, e </w:t>
            </w:r>
            <w:r>
              <w:rPr>
                <w:rFonts w:eastAsia="Times New Roman" w:cs="Times New Roman" w:ascii="Times New Roman" w:hAnsi="Times New Roman"/>
                <w:b/>
                <w:sz w:val="24"/>
                <w:szCs w:val="24"/>
              </w:rPr>
              <w:t>Versão 1 -</w:t>
            </w:r>
            <w:r>
              <w:rPr>
                <w:rFonts w:eastAsia="Times New Roman" w:cs="Times New Roman" w:ascii="Times New Roman" w:hAnsi="Times New Roman"/>
                <w:sz w:val="24"/>
                <w:szCs w:val="24"/>
              </w:rPr>
              <w:t xml:space="preserve"> suportando o processo de controle de patrimônio</w:t>
            </w:r>
            <w:r>
              <w:rPr>
                <w:sz w:val="24"/>
                <w:szCs w:val="24"/>
              </w:rPr>
              <w:t>.</w:t>
            </w:r>
          </w:p>
        </w:tc>
      </w:tr>
    </w:tbl>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0" w:after="120"/>
        <w:jc w:val="both"/>
        <w:rPr>
          <w:rFonts w:ascii="Times New Roman" w:hAnsi="Times New Roman" w:eastAsia="Times New Roman" w:cs="Times New Roman"/>
          <w:sz w:val="24"/>
          <w:szCs w:val="24"/>
        </w:rPr>
      </w:pPr>
      <w:commentRangeStart w:id="30"/>
      <w:r>
        <w:rPr>
          <w:rFonts w:eastAsia="Times New Roman" w:cs="Times New Roman" w:ascii="Times New Roman" w:hAnsi="Times New Roman"/>
          <w:sz w:val="24"/>
          <w:szCs w:val="24"/>
        </w:rPr>
        <w:t>Os "perfis" ou "grupos" definidos para o Siga/Sgbm são os seguintes:</w:t>
      </w:r>
      <w:commentRangeEnd w:id="30"/>
      <w:r>
        <w:commentReference w:id="30"/>
      </w:r>
      <w:r>
        <w:rPr>
          <w:rFonts w:eastAsia="Times New Roman" w:cs="Times New Roman" w:ascii="Times New Roman" w:hAnsi="Times New Roman"/>
          <w:sz w:val="24"/>
          <w:szCs w:val="24"/>
        </w:rPr>
      </w:r>
    </w:p>
    <w:tbl>
      <w:tblPr>
        <w:tblStyle w:val="Table6"/>
        <w:tblW w:w="9777" w:type="dxa"/>
        <w:jc w:val="left"/>
        <w:tblInd w:w="0" w:type="dxa"/>
        <w:tblLayout w:type="fixed"/>
        <w:tblCellMar>
          <w:top w:w="0" w:type="dxa"/>
          <w:left w:w="108" w:type="dxa"/>
          <w:bottom w:w="0" w:type="dxa"/>
          <w:right w:w="108" w:type="dxa"/>
        </w:tblCellMar>
        <w:tblLook w:val="0000"/>
      </w:tblPr>
      <w:tblGrid>
        <w:gridCol w:w="1667"/>
        <w:gridCol w:w="8109"/>
      </w:tblGrid>
      <w:tr>
        <w:trPr/>
        <w:tc>
          <w:tcPr>
            <w:tcW w:w="1667" w:type="dxa"/>
            <w:tcBorders/>
          </w:tcPr>
          <w:p>
            <w:pPr>
              <w:pStyle w:val="Normal1"/>
              <w:widowControl w:val="false"/>
              <w:spacing w:lineRule="auto" w:line="240"/>
              <w:jc w:val="both"/>
              <w:rPr>
                <w:rFonts w:ascii="Times New Roman" w:hAnsi="Times New Roman" w:eastAsia="Times New Roman" w:cs="Times New Roman"/>
                <w:sz w:val="24"/>
                <w:szCs w:val="24"/>
              </w:rPr>
            </w:pPr>
            <w:commentRangeStart w:id="31"/>
            <w:r>
              <w:rPr>
                <w:rFonts w:eastAsia="Times New Roman" w:cs="Times New Roman" w:ascii="Times New Roman" w:hAnsi="Times New Roman"/>
                <w:sz w:val="24"/>
                <w:szCs w:val="24"/>
              </w:rPr>
              <w:drawing>
                <wp:anchor behindDoc="0" distT="0" distB="0" distL="0" distR="0" simplePos="0" locked="0" layoutInCell="1" allowOverlap="1" relativeHeight="7">
                  <wp:simplePos x="0" y="0"/>
                  <wp:positionH relativeFrom="column">
                    <wp:posOffset>0</wp:posOffset>
                  </wp:positionH>
                  <wp:positionV relativeFrom="paragraph">
                    <wp:posOffset>-2540</wp:posOffset>
                  </wp:positionV>
                  <wp:extent cx="885190" cy="938530"/>
                  <wp:effectExtent l="0" t="0" r="0" b="0"/>
                  <wp:wrapSquare wrapText="bothSides"/>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8"/>
                          <a:stretch>
                            <a:fillRect/>
                          </a:stretch>
                        </pic:blipFill>
                        <pic:spPr bwMode="auto">
                          <a:xfrm>
                            <a:off x="0" y="0"/>
                            <a:ext cx="885190" cy="938530"/>
                          </a:xfrm>
                          <a:prstGeom prst="rect">
                            <a:avLst/>
                          </a:prstGeom>
                        </pic:spPr>
                      </pic:pic>
                    </a:graphicData>
                  </a:graphic>
                </wp:anchor>
              </w:drawing>
            </w:r>
          </w:p>
        </w:tc>
        <w:tc>
          <w:tcPr>
            <w:tcW w:w="8109" w:type="dxa"/>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ALMOXARIFE:</w:t>
            </w:r>
            <w:r>
              <w:rPr>
                <w:rFonts w:eastAsia="Times New Roman" w:cs="Times New Roman" w:ascii="Times New Roman" w:hAnsi="Times New Roman"/>
                <w:sz w:val="24"/>
                <w:szCs w:val="24"/>
              </w:rPr>
              <w:t xml:space="preserve"> É aquele que trabalha operacionalizando o controle de estoque, atualizando o cadastro de materiais, atendendo as requisições e procedendo à entrega dos materiais de consumo, assim como registrando as entradas de estoque originadas dos recebimentos de materiais de consumo e permanente. </w:t>
            </w:r>
          </w:p>
        </w:tc>
      </w:tr>
      <w:tr>
        <w:trPr/>
        <w:tc>
          <w:tcPr>
            <w:tcW w:w="9776" w:type="dxa"/>
            <w:gridSpan w:val="2"/>
            <w:tcBorders/>
          </w:tcPr>
          <w:p>
            <w:pPr>
              <w:pStyle w:val="Normal1"/>
              <w:widowControl w:val="false"/>
              <w:spacing w:lineRule="auto" w:line="360"/>
              <w:jc w:val="both"/>
              <w:rPr>
                <w:rFonts w:ascii="Times New Roman" w:hAnsi="Times New Roman" w:eastAsia="Times New Roman" w:cs="Times New Roman"/>
                <w:sz w:val="24"/>
                <w:szCs w:val="24"/>
              </w:rPr>
            </w:pPr>
            <w:r>
              <w:rPr/>
            </w:r>
            <w:commentRangeEnd w:id="31"/>
            <w:r>
              <w:commentReference w:id="31"/>
            </w:r>
            <w:r>
              <w:rPr>
                <w:rFonts w:eastAsia="Times New Roman" w:cs="Times New Roman" w:ascii="Times New Roman" w:hAnsi="Times New Roman"/>
                <w:sz w:val="24"/>
                <w:szCs w:val="24"/>
              </w:rPr>
              <w:t>Também é função desse perfil, por intermédio do SIGA/SGBM, monitorar a movimentação dos itens e encerrar mensalmente o ciclo do controle de estoque.  As permissões correspondentes a este perfil são:</w:t>
            </w:r>
          </w:p>
        </w:tc>
      </w:tr>
    </w:tbl>
    <w:p>
      <w:pPr>
        <w:pStyle w:val="Normal1"/>
        <w:spacing w:lineRule="auto" w:line="240"/>
        <w:jc w:val="both"/>
        <w:rPr>
          <w:rFonts w:ascii="Times New Roman" w:hAnsi="Times New Roman" w:eastAsia="Times New Roman" w:cs="Times New Roman"/>
          <w:sz w:val="16"/>
          <w:szCs w:val="16"/>
        </w:rPr>
      </w:pPr>
      <w:r>
        <w:rPr>
          <w:rFonts w:eastAsia="Times New Roman" w:cs="Times New Roman" w:ascii="Times New Roman" w:hAnsi="Times New Roman"/>
          <w:sz w:val="16"/>
          <w:szCs w:val="16"/>
        </w:rPr>
      </w:r>
    </w:p>
    <w:tbl>
      <w:tblPr>
        <w:tblStyle w:val="Table7"/>
        <w:tblW w:w="9637" w:type="dxa"/>
        <w:jc w:val="left"/>
        <w:tblInd w:w="0" w:type="dxa"/>
        <w:tblLayout w:type="fixed"/>
        <w:tblCellMar>
          <w:top w:w="0" w:type="dxa"/>
          <w:left w:w="108" w:type="dxa"/>
          <w:bottom w:w="0" w:type="dxa"/>
          <w:right w:w="108" w:type="dxa"/>
        </w:tblCellMar>
        <w:tblLook w:val="0000"/>
      </w:tblPr>
      <w:tblGrid>
        <w:gridCol w:w="2975"/>
        <w:gridCol w:w="3262"/>
        <w:gridCol w:w="3400"/>
      </w:tblGrid>
      <w:tr>
        <w:trPr/>
        <w:tc>
          <w:tcPr>
            <w:tcW w:w="2975" w:type="dxa"/>
            <w:tcBorders/>
          </w:tcPr>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Atender Requisição de Almoxarifado</w:t>
            </w:r>
          </w:p>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Baixa de Material de Consumo</w:t>
            </w:r>
          </w:p>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Devolução</w:t>
            </w:r>
          </w:p>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Doação de Material de Consumo</w:t>
            </w:r>
          </w:p>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Requisitar Material de Consumo</w:t>
            </w:r>
          </w:p>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Registro de Preço</w:t>
            </w:r>
          </w:p>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Cotação Eletrônica</w:t>
            </w:r>
          </w:p>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Nota Fiscal</w:t>
            </w:r>
          </w:p>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Consultar Notas Fiscais Salvas</w:t>
            </w:r>
          </w:p>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Solicitar Cancelamento de Nota Fiscal</w:t>
            </w:r>
          </w:p>
          <w:p>
            <w:pPr>
              <w:pStyle w:val="Normal1"/>
              <w:widowControl w:val="false"/>
              <w:numPr>
                <w:ilvl w:val="0"/>
                <w:numId w:val="11"/>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Solicitar Cadastro de Material no Catálogo</w:t>
            </w:r>
          </w:p>
        </w:tc>
        <w:tc>
          <w:tcPr>
            <w:tcW w:w="3262" w:type="dxa"/>
            <w:tcBorders/>
          </w:tcPr>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 Material no SIGA/SGBM</w:t>
            </w:r>
          </w:p>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10 Itens</w:t>
            </w:r>
          </w:p>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Consumo Geral do Período</w:t>
            </w:r>
          </w:p>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Consumo por Setor</w:t>
            </w:r>
          </w:p>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Consumo por Categoria</w:t>
            </w:r>
          </w:p>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Curva ABC de Estoque</w:t>
            </w:r>
          </w:p>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Curva ABC de Giro de Estoque</w:t>
            </w:r>
          </w:p>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Entrada Período</w:t>
            </w:r>
          </w:p>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Entradas x Saídas</w:t>
            </w:r>
          </w:p>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Itens Parados</w:t>
            </w:r>
          </w:p>
          <w:p>
            <w:pPr>
              <w:pStyle w:val="Normal1"/>
              <w:widowControl w:val="false"/>
              <w:numPr>
                <w:ilvl w:val="0"/>
                <w:numId w:val="14"/>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Itens Cadastrados por Tipo</w:t>
            </w:r>
          </w:p>
          <w:p>
            <w:pPr>
              <w:pStyle w:val="Normal1"/>
              <w:widowControl w:val="false"/>
              <w:spacing w:lineRule="auto" w:line="240" w:before="0" w:after="40"/>
              <w:rPr>
                <w:rFonts w:ascii="Times New Roman" w:hAnsi="Times New Roman" w:eastAsia="Times New Roman" w:cs="Times New Roman"/>
                <w:sz w:val="16"/>
                <w:szCs w:val="16"/>
              </w:rPr>
            </w:pPr>
            <w:r>
              <w:rPr>
                <w:rFonts w:eastAsia="Times New Roman" w:cs="Times New Roman" w:ascii="Times New Roman" w:hAnsi="Times New Roman"/>
                <w:sz w:val="16"/>
                <w:szCs w:val="16"/>
              </w:rPr>
              <w:t> </w:t>
            </w:r>
          </w:p>
        </w:tc>
        <w:tc>
          <w:tcPr>
            <w:tcW w:w="3400" w:type="dxa"/>
            <w:tcBorders/>
          </w:tcPr>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Movimentação de Estoque</w:t>
            </w:r>
          </w:p>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Posição de Estoque</w:t>
            </w:r>
          </w:p>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Razão Movimentação</w:t>
            </w:r>
          </w:p>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Baixas Material de Consumo</w:t>
            </w:r>
          </w:p>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Doação Material de Consumo</w:t>
            </w:r>
          </w:p>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Entradas</w:t>
            </w:r>
          </w:p>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Fornecedores</w:t>
            </w:r>
          </w:p>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Requisições</w:t>
            </w:r>
          </w:p>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Migrar Dados de Material de Consumo</w:t>
            </w:r>
          </w:p>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Consultar Migração Material de Consumo</w:t>
            </w:r>
          </w:p>
          <w:p>
            <w:pPr>
              <w:pStyle w:val="Normal1"/>
              <w:widowControl w:val="false"/>
              <w:numPr>
                <w:ilvl w:val="0"/>
                <w:numId w:val="3"/>
              </w:numPr>
              <w:spacing w:lineRule="auto" w:line="240" w:before="0" w:after="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Gerar Fechamento Almoxarifado</w:t>
            </w:r>
          </w:p>
          <w:p>
            <w:pPr>
              <w:pStyle w:val="Normal1"/>
              <w:widowControl w:val="false"/>
              <w:spacing w:lineRule="auto" w:line="240" w:before="0" w:after="40"/>
              <w:rPr>
                <w:rFonts w:ascii="Times New Roman" w:hAnsi="Times New Roman" w:eastAsia="Times New Roman" w:cs="Times New Roman"/>
                <w:sz w:val="16"/>
                <w:szCs w:val="16"/>
              </w:rPr>
            </w:pPr>
            <w:r>
              <w:rPr>
                <w:rFonts w:eastAsia="Times New Roman" w:cs="Times New Roman" w:ascii="Times New Roman" w:hAnsi="Times New Roman"/>
                <w:sz w:val="16"/>
                <w:szCs w:val="16"/>
              </w:rPr>
              <w:t> </w:t>
            </w:r>
          </w:p>
        </w:tc>
      </w:tr>
    </w:tbl>
    <w:tbl>
      <w:tblPr>
        <w:tblStyle w:val="Table8"/>
        <w:tblW w:w="9777" w:type="dxa"/>
        <w:jc w:val="left"/>
        <w:tblInd w:w="0" w:type="dxa"/>
        <w:tblLayout w:type="fixed"/>
        <w:tblCellMar>
          <w:top w:w="0" w:type="dxa"/>
          <w:left w:w="108" w:type="dxa"/>
          <w:bottom w:w="0" w:type="dxa"/>
          <w:right w:w="108" w:type="dxa"/>
        </w:tblCellMar>
        <w:tblLook w:val="0000"/>
      </w:tblPr>
      <w:tblGrid>
        <w:gridCol w:w="1957"/>
        <w:gridCol w:w="7819"/>
      </w:tblGrid>
      <w:tr>
        <w:trPr/>
        <w:tc>
          <w:tcPr>
            <w:tcW w:w="1957" w:type="dxa"/>
            <w:tcBorders/>
          </w:tcPr>
          <w:p>
            <w:pPr>
              <w:pStyle w:val="Normal1"/>
              <w:widowControl w:val="false"/>
              <w:spacing w:lineRule="auto" w:line="240"/>
              <w:rPr>
                <w:rFonts w:ascii="Times New Roman" w:hAnsi="Times New Roman" w:eastAsia="Times New Roman" w:cs="Times New Roman"/>
                <w:sz w:val="24"/>
                <w:szCs w:val="24"/>
              </w:rPr>
            </w:pPr>
            <w:r>
              <w:rPr/>
              <w:drawing>
                <wp:inline distT="0" distB="0" distL="0" distR="0">
                  <wp:extent cx="1105535" cy="946785"/>
                  <wp:effectExtent l="0" t="0" r="0" b="0"/>
                  <wp:docPr id="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descr=""/>
                          <pic:cNvPicPr>
                            <a:picLocks noChangeAspect="1" noChangeArrowheads="1"/>
                          </pic:cNvPicPr>
                        </pic:nvPicPr>
                        <pic:blipFill>
                          <a:blip r:embed="rId9"/>
                          <a:stretch>
                            <a:fillRect/>
                          </a:stretch>
                        </pic:blipFill>
                        <pic:spPr bwMode="auto">
                          <a:xfrm>
                            <a:off x="0" y="0"/>
                            <a:ext cx="1105535" cy="946785"/>
                          </a:xfrm>
                          <a:prstGeom prst="rect">
                            <a:avLst/>
                          </a:prstGeom>
                        </pic:spPr>
                      </pic:pic>
                    </a:graphicData>
                  </a:graphic>
                </wp:inline>
              </w:drawing>
            </w:r>
          </w:p>
        </w:tc>
        <w:tc>
          <w:tcPr>
            <w:tcW w:w="7819" w:type="dxa"/>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GESTOR PATRIMONIAL:</w:t>
            </w:r>
            <w:r>
              <w:rPr>
                <w:rFonts w:eastAsia="Times New Roman" w:cs="Times New Roman" w:ascii="Times New Roman" w:hAnsi="Times New Roman"/>
                <w:sz w:val="24"/>
                <w:szCs w:val="24"/>
              </w:rPr>
              <w:t xml:space="preserve"> É aquele que trabalha no controle e movimentação dos bens móveis, no tocante à localização, ao uso, à garantia, à manutenção dos bens, assim como às cessões, às transferências e às doações; inclusive na preparação dos bens para o Leilão Público Estadual. As permissões correspondentes a este perfil são:</w:t>
            </w:r>
          </w:p>
        </w:tc>
      </w:tr>
    </w:tbl>
    <w:tbl>
      <w:tblPr>
        <w:tblStyle w:val="Table9"/>
        <w:tblW w:w="9637" w:type="dxa"/>
        <w:jc w:val="left"/>
        <w:tblInd w:w="0" w:type="dxa"/>
        <w:tblLayout w:type="fixed"/>
        <w:tblCellMar>
          <w:top w:w="0" w:type="dxa"/>
          <w:left w:w="108" w:type="dxa"/>
          <w:bottom w:w="0" w:type="dxa"/>
          <w:right w:w="108" w:type="dxa"/>
        </w:tblCellMar>
        <w:tblLook w:val="0000"/>
      </w:tblPr>
      <w:tblGrid>
        <w:gridCol w:w="2977"/>
        <w:gridCol w:w="3260"/>
        <w:gridCol w:w="3400"/>
      </w:tblGrid>
      <w:tr>
        <w:trPr/>
        <w:tc>
          <w:tcPr>
            <w:tcW w:w="2977" w:type="dxa"/>
            <w:tcBorders/>
          </w:tcPr>
          <w:p>
            <w:pPr>
              <w:pStyle w:val="Normal1"/>
              <w:widowControl w:val="false"/>
              <w:numPr>
                <w:ilvl w:val="0"/>
                <w:numId w:val="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Atender Requisição de Patrimônio</w:t>
            </w:r>
          </w:p>
          <w:p>
            <w:pPr>
              <w:pStyle w:val="Normal1"/>
              <w:widowControl w:val="false"/>
              <w:numPr>
                <w:ilvl w:val="0"/>
                <w:numId w:val="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Baixa de Bens</w:t>
            </w:r>
          </w:p>
          <w:p>
            <w:pPr>
              <w:pStyle w:val="Normal1"/>
              <w:widowControl w:val="false"/>
              <w:numPr>
                <w:ilvl w:val="0"/>
                <w:numId w:val="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Doação de Bens</w:t>
            </w:r>
          </w:p>
          <w:p>
            <w:pPr>
              <w:pStyle w:val="Normal1"/>
              <w:widowControl w:val="false"/>
              <w:numPr>
                <w:ilvl w:val="0"/>
                <w:numId w:val="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Cessão de Bens</w:t>
            </w:r>
          </w:p>
          <w:p>
            <w:pPr>
              <w:pStyle w:val="Normal1"/>
              <w:widowControl w:val="false"/>
              <w:numPr>
                <w:ilvl w:val="0"/>
                <w:numId w:val="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Transferência de Bens</w:t>
            </w:r>
          </w:p>
          <w:p>
            <w:pPr>
              <w:pStyle w:val="Normal1"/>
              <w:widowControl w:val="false"/>
              <w:numPr>
                <w:ilvl w:val="0"/>
                <w:numId w:val="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Movimento Interno Setor p/ Setor</w:t>
            </w:r>
          </w:p>
          <w:p>
            <w:pPr>
              <w:pStyle w:val="Normal1"/>
              <w:widowControl w:val="false"/>
              <w:numPr>
                <w:ilvl w:val="0"/>
                <w:numId w:val="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Solicitar Cadastro de Material no Catálogo</w:t>
            </w:r>
          </w:p>
          <w:p>
            <w:pPr>
              <w:pStyle w:val="Normal1"/>
              <w:widowControl w:val="false"/>
              <w:numPr>
                <w:ilvl w:val="0"/>
                <w:numId w:val="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 Material no SIGA/SGBM</w:t>
            </w:r>
          </w:p>
          <w:p>
            <w:pPr>
              <w:pStyle w:val="Normal1"/>
              <w:widowControl w:val="false"/>
              <w:numPr>
                <w:ilvl w:val="0"/>
                <w:numId w:val="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Cadastrar/Pesquisar Responsável Setor</w:t>
            </w:r>
          </w:p>
        </w:tc>
        <w:tc>
          <w:tcPr>
            <w:tcW w:w="3260" w:type="dxa"/>
            <w:tcBorders/>
          </w:tcPr>
          <w:p>
            <w:pPr>
              <w:pStyle w:val="Normal1"/>
              <w:widowControl w:val="false"/>
              <w:numPr>
                <w:ilvl w:val="0"/>
                <w:numId w:val="1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Ativar/Inativar Responsável Setor</w:t>
            </w:r>
          </w:p>
          <w:p>
            <w:pPr>
              <w:pStyle w:val="Normal1"/>
              <w:widowControl w:val="false"/>
              <w:numPr>
                <w:ilvl w:val="0"/>
                <w:numId w:val="1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Cadastrar/Pesquisar Responsável Bem</w:t>
            </w:r>
          </w:p>
          <w:p>
            <w:pPr>
              <w:pStyle w:val="Normal1"/>
              <w:widowControl w:val="false"/>
              <w:numPr>
                <w:ilvl w:val="0"/>
                <w:numId w:val="1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Ativar/Inativar Responsável Bem</w:t>
            </w:r>
          </w:p>
          <w:p>
            <w:pPr>
              <w:pStyle w:val="Normal1"/>
              <w:widowControl w:val="false"/>
              <w:numPr>
                <w:ilvl w:val="0"/>
                <w:numId w:val="1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Transferir Responsável Bem</w:t>
            </w:r>
          </w:p>
          <w:p>
            <w:pPr>
              <w:pStyle w:val="Normal1"/>
              <w:widowControl w:val="false"/>
              <w:numPr>
                <w:ilvl w:val="0"/>
                <w:numId w:val="1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Cadastrar/Pesquisar Coordenador Jurídico</w:t>
            </w:r>
          </w:p>
          <w:p>
            <w:pPr>
              <w:pStyle w:val="Normal1"/>
              <w:widowControl w:val="false"/>
              <w:numPr>
                <w:ilvl w:val="0"/>
                <w:numId w:val="1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Imprimir Relatório de Inventário de Bens</w:t>
            </w:r>
          </w:p>
          <w:p>
            <w:pPr>
              <w:pStyle w:val="Normal1"/>
              <w:widowControl w:val="false"/>
              <w:numPr>
                <w:ilvl w:val="0"/>
                <w:numId w:val="1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Imprimir Guia de Movimentação de Bens</w:t>
            </w:r>
          </w:p>
          <w:p>
            <w:pPr>
              <w:pStyle w:val="Normal1"/>
              <w:widowControl w:val="false"/>
              <w:numPr>
                <w:ilvl w:val="0"/>
                <w:numId w:val="1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Imprimir Termo de Responsabilidade</w:t>
            </w:r>
          </w:p>
          <w:p>
            <w:pPr>
              <w:pStyle w:val="Normal1"/>
              <w:widowControl w:val="false"/>
              <w:numPr>
                <w:ilvl w:val="0"/>
                <w:numId w:val="1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Bens</w:t>
            </w:r>
          </w:p>
        </w:tc>
        <w:tc>
          <w:tcPr>
            <w:tcW w:w="3400" w:type="dxa"/>
            <w:tcBorders/>
          </w:tcPr>
          <w:p>
            <w:pPr>
              <w:pStyle w:val="Normal1"/>
              <w:widowControl w:val="false"/>
              <w:numPr>
                <w:ilvl w:val="0"/>
                <w:numId w:val="19"/>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Gerar Fechamento Patrimônio</w:t>
            </w:r>
          </w:p>
          <w:p>
            <w:pPr>
              <w:pStyle w:val="Normal1"/>
              <w:widowControl w:val="false"/>
              <w:numPr>
                <w:ilvl w:val="0"/>
                <w:numId w:val="19"/>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Inventário de Bens</w:t>
            </w:r>
          </w:p>
          <w:p>
            <w:pPr>
              <w:pStyle w:val="Normal1"/>
              <w:widowControl w:val="false"/>
              <w:numPr>
                <w:ilvl w:val="0"/>
                <w:numId w:val="19"/>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Entrada de Inventário de Bens</w:t>
            </w:r>
          </w:p>
          <w:p>
            <w:pPr>
              <w:pStyle w:val="Normal1"/>
              <w:widowControl w:val="false"/>
              <w:numPr>
                <w:ilvl w:val="0"/>
                <w:numId w:val="19"/>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Listar Pendências de Inventário</w:t>
            </w:r>
          </w:p>
          <w:p>
            <w:pPr>
              <w:pStyle w:val="Normal1"/>
              <w:widowControl w:val="false"/>
              <w:numPr>
                <w:ilvl w:val="0"/>
                <w:numId w:val="19"/>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Enviar Arquivo de Implantação de Bens</w:t>
            </w:r>
          </w:p>
          <w:p>
            <w:pPr>
              <w:pStyle w:val="Normal1"/>
              <w:widowControl w:val="false"/>
              <w:numPr>
                <w:ilvl w:val="0"/>
                <w:numId w:val="19"/>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Ler Planilha de Migração de bens</w:t>
            </w:r>
          </w:p>
          <w:p>
            <w:pPr>
              <w:pStyle w:val="Normal1"/>
              <w:widowControl w:val="false"/>
              <w:numPr>
                <w:ilvl w:val="0"/>
                <w:numId w:val="19"/>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Listar Pendências de Planilha de Migração de Bens</w:t>
            </w:r>
          </w:p>
          <w:p>
            <w:pPr>
              <w:pStyle w:val="Normal1"/>
              <w:widowControl w:val="false"/>
              <w:numPr>
                <w:ilvl w:val="0"/>
                <w:numId w:val="19"/>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Listar Relatório de Resultado de Migração de Bens</w:t>
            </w:r>
            <w:r>
              <w:rPr/>
              <w:commentReference w:id="32"/>
            </w:r>
            <w:bookmarkStart w:id="5" w:name="kix.d2jwr2jxv7gk"/>
          </w:p>
        </w:tc>
      </w:tr>
    </w:tbl>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End w:id="5"/>
    </w:p>
    <w:tbl>
      <w:tblPr>
        <w:tblStyle w:val="Table10"/>
        <w:tblW w:w="9637" w:type="dxa"/>
        <w:jc w:val="left"/>
        <w:tblInd w:w="0" w:type="dxa"/>
        <w:tblLayout w:type="fixed"/>
        <w:tblCellMar>
          <w:top w:w="0" w:type="dxa"/>
          <w:left w:w="108" w:type="dxa"/>
          <w:bottom w:w="0" w:type="dxa"/>
          <w:right w:w="108" w:type="dxa"/>
        </w:tblCellMar>
        <w:tblLook w:val="0000"/>
      </w:tblPr>
      <w:tblGrid>
        <w:gridCol w:w="1700"/>
        <w:gridCol w:w="7936"/>
      </w:tblGrid>
      <w:tr>
        <w:trPr/>
        <w:tc>
          <w:tcPr>
            <w:tcW w:w="1700" w:type="dxa"/>
            <w:tcBorders/>
            <w:vAlign w:val="center"/>
          </w:tcPr>
          <w:p>
            <w:pPr>
              <w:pStyle w:val="Normal1"/>
              <w:widowControl w:val="false"/>
              <w:spacing w:lineRule="auto" w:line="240"/>
              <w:rPr>
                <w:rFonts w:ascii="Times New Roman" w:hAnsi="Times New Roman" w:eastAsia="Times New Roman" w:cs="Times New Roman"/>
                <w:sz w:val="24"/>
                <w:szCs w:val="24"/>
              </w:rPr>
            </w:pPr>
            <w:commentRangeStart w:id="33"/>
            <w:r>
              <w:rPr/>
              <w:drawing>
                <wp:inline distT="0" distB="0" distL="0" distR="0">
                  <wp:extent cx="975995" cy="1095375"/>
                  <wp:effectExtent l="0" t="0" r="0" b="0"/>
                  <wp:docPr id="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png" descr=""/>
                          <pic:cNvPicPr>
                            <a:picLocks noChangeAspect="1" noChangeArrowheads="1"/>
                          </pic:cNvPicPr>
                        </pic:nvPicPr>
                        <pic:blipFill>
                          <a:blip r:embed="rId10"/>
                          <a:stretch>
                            <a:fillRect/>
                          </a:stretch>
                        </pic:blipFill>
                        <pic:spPr bwMode="auto">
                          <a:xfrm>
                            <a:off x="0" y="0"/>
                            <a:ext cx="975995" cy="1095375"/>
                          </a:xfrm>
                          <a:prstGeom prst="rect">
                            <a:avLst/>
                          </a:prstGeom>
                        </pic:spPr>
                      </pic:pic>
                    </a:graphicData>
                  </a:graphic>
                </wp:inline>
              </w:drawing>
            </w:r>
          </w:p>
        </w:tc>
        <w:tc>
          <w:tcPr>
            <w:tcW w:w="7936" w:type="dxa"/>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ALMOXARIFE/GESTOR PATRIMONIAL: </w:t>
            </w:r>
            <w:r>
              <w:rPr>
                <w:rFonts w:eastAsia="Times New Roman" w:cs="Times New Roman" w:ascii="Times New Roman" w:hAnsi="Times New Roman"/>
                <w:sz w:val="24"/>
                <w:szCs w:val="24"/>
              </w:rPr>
              <w:t>É aquele que trabalha tanto como Almoxarife quanto como Gestor Patrimonial, devido ao tamanho e simplicidade do órgão/entidade. Para esses, o Siga/Sgbm permitirá o acesso tanto para as funcionalidades de controle de estoque, como  para as funcionalidades de controle</w:t>
            </w:r>
          </w:p>
        </w:tc>
      </w:tr>
      <w:tr>
        <w:trPr/>
        <w:tc>
          <w:tcPr>
            <w:tcW w:w="9636" w:type="dxa"/>
            <w:gridSpan w:val="2"/>
            <w:tcBorders/>
            <w:vAlign w:val="center"/>
          </w:tcPr>
          <w:p>
            <w:pPr>
              <w:pStyle w:val="Normal1"/>
              <w:widowControl w:val="false"/>
              <w:spacing w:lineRule="auto" w:line="360"/>
              <w:jc w:val="both"/>
              <w:rPr>
                <w:rFonts w:ascii="Times New Roman" w:hAnsi="Times New Roman" w:eastAsia="Times New Roman" w:cs="Times New Roman"/>
                <w:sz w:val="24"/>
                <w:szCs w:val="24"/>
              </w:rPr>
            </w:pPr>
            <w:r>
              <w:rPr/>
            </w:r>
            <w:commentRangeEnd w:id="33"/>
            <w:r>
              <w:commentReference w:id="33"/>
            </w:r>
            <w:r>
              <w:rPr>
                <w:rFonts w:eastAsia="Times New Roman" w:cs="Times New Roman" w:ascii="Times New Roman" w:hAnsi="Times New Roman"/>
                <w:sz w:val="24"/>
                <w:szCs w:val="24"/>
              </w:rPr>
              <w:t>e movimentação de bens. As permissões correspondentes a este perfil são:</w:t>
            </w:r>
          </w:p>
          <w:p>
            <w:pPr>
              <w:pStyle w:val="Normal1"/>
              <w:widowControl w:val="false"/>
              <w:spacing w:lineRule="auto" w:line="360"/>
              <w:jc w:val="both"/>
              <w:rPr>
                <w:rFonts w:ascii="Times New Roman" w:hAnsi="Times New Roman" w:eastAsia="Times New Roman" w:cs="Times New Roman"/>
                <w:sz w:val="24"/>
                <w:szCs w:val="24"/>
              </w:rPr>
            </w:pPr>
            <w:commentRangeStart w:id="34"/>
            <w:r>
              <w:rPr>
                <w:rFonts w:eastAsia="Times New Roman" w:cs="Times New Roman" w:ascii="Times New Roman" w:hAnsi="Times New Roman"/>
                <w:b/>
                <w:sz w:val="24"/>
                <w:szCs w:val="24"/>
              </w:rPr>
              <w:t>ATENÇÃO!</w:t>
            </w:r>
            <w:r>
              <w:rPr>
                <w:rFonts w:eastAsia="Times New Roman" w:cs="Times New Roman" w:ascii="Times New Roman" w:hAnsi="Times New Roman"/>
                <w:sz w:val="24"/>
                <w:szCs w:val="24"/>
              </w:rPr>
              <w:t xml:space="preserve"> Este perfil estará inativo durante a atualização da Versão 1, referente ao controle patrimonial. Enquanto estiver em atualização, os usuários que necessitam desse perfil terão acesso às duas versões, sendo: </w:t>
            </w:r>
            <w:r>
              <w:rPr>
                <w:rFonts w:eastAsia="Times New Roman" w:cs="Times New Roman" w:ascii="Times New Roman" w:hAnsi="Times New Roman"/>
                <w:b/>
                <w:sz w:val="24"/>
                <w:szCs w:val="24"/>
              </w:rPr>
              <w:t>Versão 1 -</w:t>
            </w:r>
            <w:r>
              <w:rPr>
                <w:rFonts w:eastAsia="Times New Roman" w:cs="Times New Roman" w:ascii="Times New Roman" w:hAnsi="Times New Roman"/>
                <w:sz w:val="24"/>
                <w:szCs w:val="24"/>
              </w:rPr>
              <w:t xml:space="preserve"> como </w:t>
            </w:r>
            <w:r>
              <w:rPr>
                <w:rFonts w:eastAsia="Times New Roman" w:cs="Times New Roman" w:ascii="Times New Roman" w:hAnsi="Times New Roman"/>
                <w:b/>
                <w:sz w:val="24"/>
                <w:szCs w:val="24"/>
              </w:rPr>
              <w:t>Gestor Patrimonial</w:t>
            </w:r>
            <w:r>
              <w:rPr>
                <w:rFonts w:eastAsia="Times New Roman" w:cs="Times New Roman" w:ascii="Times New Roman" w:hAnsi="Times New Roman"/>
                <w:sz w:val="24"/>
                <w:szCs w:val="24"/>
              </w:rPr>
              <w:t xml:space="preserve">, e </w:t>
            </w:r>
            <w:r>
              <w:rPr>
                <w:rFonts w:eastAsia="Times New Roman" w:cs="Times New Roman" w:ascii="Times New Roman" w:hAnsi="Times New Roman"/>
                <w:b/>
                <w:sz w:val="24"/>
                <w:szCs w:val="24"/>
              </w:rPr>
              <w:t>Versão 2</w:t>
            </w:r>
            <w:r>
              <w:rPr>
                <w:rFonts w:eastAsia="Times New Roman" w:cs="Times New Roman" w:ascii="Times New Roman" w:hAnsi="Times New Roman"/>
                <w:sz w:val="24"/>
                <w:szCs w:val="24"/>
              </w:rPr>
              <w:t xml:space="preserve"> - como </w:t>
            </w:r>
            <w:r>
              <w:rPr>
                <w:rFonts w:eastAsia="Times New Roman" w:cs="Times New Roman" w:ascii="Times New Roman" w:hAnsi="Times New Roman"/>
                <w:b/>
                <w:sz w:val="24"/>
                <w:szCs w:val="24"/>
              </w:rPr>
              <w:t>Almoxarife</w:t>
            </w:r>
            <w:r>
              <w:rPr>
                <w:rFonts w:eastAsia="Times New Roman" w:cs="Times New Roman" w:ascii="Times New Roman" w:hAnsi="Times New Roman"/>
                <w:sz w:val="24"/>
                <w:szCs w:val="24"/>
              </w:rPr>
              <w:t>.</w:t>
            </w:r>
            <w:commentRangeEnd w:id="34"/>
            <w:r>
              <w:commentReference w:id="34"/>
            </w:r>
            <w:r>
              <w:rPr>
                <w:rFonts w:eastAsia="Times New Roman" w:cs="Times New Roman" w:ascii="Times New Roman" w:hAnsi="Times New Roman"/>
                <w:sz w:val="24"/>
                <w:szCs w:val="24"/>
              </w:rPr>
            </w:r>
          </w:p>
        </w:tc>
      </w:tr>
    </w:tbl>
    <w:p>
      <w:pPr>
        <w:pStyle w:val="Normal1"/>
        <w:spacing w:lineRule="auto" w:line="240"/>
        <w:rPr>
          <w:rFonts w:ascii="Times New Roman" w:hAnsi="Times New Roman" w:eastAsia="Times New Roman" w:cs="Times New Roman"/>
          <w:sz w:val="16"/>
          <w:szCs w:val="16"/>
        </w:rPr>
      </w:pPr>
      <w:r>
        <w:rPr>
          <w:rFonts w:eastAsia="Times New Roman" w:cs="Times New Roman" w:ascii="Times New Roman" w:hAnsi="Times New Roman"/>
          <w:sz w:val="16"/>
          <w:szCs w:val="16"/>
        </w:rPr>
      </w:r>
    </w:p>
    <w:tbl>
      <w:tblPr>
        <w:tblStyle w:val="Table11"/>
        <w:tblW w:w="9637" w:type="dxa"/>
        <w:jc w:val="left"/>
        <w:tblInd w:w="0" w:type="dxa"/>
        <w:tblLayout w:type="fixed"/>
        <w:tblCellMar>
          <w:top w:w="0" w:type="dxa"/>
          <w:left w:w="108" w:type="dxa"/>
          <w:bottom w:w="0" w:type="dxa"/>
          <w:right w:w="108" w:type="dxa"/>
        </w:tblCellMar>
        <w:tblLook w:val="0000"/>
      </w:tblPr>
      <w:tblGrid>
        <w:gridCol w:w="2975"/>
        <w:gridCol w:w="3260"/>
        <w:gridCol w:w="3402"/>
      </w:tblGrid>
      <w:tr>
        <w:trPr/>
        <w:tc>
          <w:tcPr>
            <w:tcW w:w="2975" w:type="dxa"/>
            <w:tcBorders/>
          </w:tcPr>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Atender Requisição de Almoxarifado</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Atender Requisição de Patrimônio</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Baixa de Material de Consumo</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Devolução</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Doação de Material de Consumo</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Requisitar Material de Consumo</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OC de Registro de Preço</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OC de Cotação Eletrônica</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Nota Fiscal</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Consultar Notas Fiscais Salvas</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Solicitar Cancelamento de Nota Fiscal</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Baixa de Bens</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Doação de Bens</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Cessão de Bens</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Transferência de Bens</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Movimento Interno Setor p/ Setor</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Requisição de Bens</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Solicitar Cadastro de Material no Catálogo</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 Material no SIGA/SGBM</w:t>
            </w:r>
          </w:p>
          <w:p>
            <w:pPr>
              <w:pStyle w:val="Normal1"/>
              <w:widowControl w:val="false"/>
              <w:numPr>
                <w:ilvl w:val="0"/>
                <w:numId w:val="1"/>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Cadastrar/Pesquisar Responsável Setor</w:t>
            </w:r>
          </w:p>
        </w:tc>
        <w:tc>
          <w:tcPr>
            <w:tcW w:w="3260" w:type="dxa"/>
            <w:tcBorders/>
          </w:tcPr>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Ativar/Inativar Responsável Setor</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Cadastrar/Pesquisar Responsável Bem</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Ativar/Inativar Responsável Bem</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Transferir Responsável Bem</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Cadastrar/Pesquisar Coordenador Jurídico</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10 Itens</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Consumo Geral do Período</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Consumo por Setor</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Consumo por Categoria</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Curva ABC de Estoque</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Curva ABC de Giro de Estoque</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Entrada Período, Relatório de Entradas x Saídas</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Itens Parados</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Itens Cadastrados por Tipo</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Movimentação de Estoque</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Posição de Estoque</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Razão Movimentação</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Imprimir Relatório de Inventário de Bens</w:t>
            </w:r>
          </w:p>
          <w:p>
            <w:pPr>
              <w:pStyle w:val="Normal1"/>
              <w:widowControl w:val="false"/>
              <w:numPr>
                <w:ilvl w:val="0"/>
                <w:numId w:val="7"/>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Imprimir Guia de Movimentação de Bens</w:t>
            </w:r>
          </w:p>
          <w:p>
            <w:pPr>
              <w:pStyle w:val="Normal1"/>
              <w:widowControl w:val="false"/>
              <w:spacing w:lineRule="auto" w:line="240"/>
              <w:rPr>
                <w:rFonts w:ascii="Times New Roman" w:hAnsi="Times New Roman" w:eastAsia="Times New Roman" w:cs="Times New Roman"/>
                <w:sz w:val="16"/>
                <w:szCs w:val="16"/>
              </w:rPr>
            </w:pPr>
            <w:r>
              <w:rPr>
                <w:rFonts w:eastAsia="Times New Roman" w:cs="Times New Roman" w:ascii="Times New Roman" w:hAnsi="Times New Roman"/>
                <w:sz w:val="16"/>
                <w:szCs w:val="16"/>
              </w:rPr>
              <w:t> </w:t>
            </w:r>
          </w:p>
        </w:tc>
        <w:tc>
          <w:tcPr>
            <w:tcW w:w="3402" w:type="dxa"/>
            <w:tcBorders/>
          </w:tcPr>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Imprimir Termo de Responsabilidade</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Imprimir Termo de Transferência de Bens</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Imprimir Termo de Doação de Bens</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Baixas (Consumo)</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Doação (Consumo)</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 xml:space="preserve">Consulta de Entradas </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Fornecedores</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Requisições</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Bens</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Migrar Dados Material de Consumo</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Consultar Migração de Material de Consumo</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Gerar Fechamento Almoxarifado</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Gerar Fechamento Patrimônio</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Inventário de Bens</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Entrada de Inventário de Bens</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Listar Pendências de Inventário</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Enviar Arquivo de Implantação de Bens</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Ler Planilha de Migração de bens</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Listar Pendências de Planilha de Migração de Bens</w:t>
            </w:r>
          </w:p>
          <w:p>
            <w:pPr>
              <w:pStyle w:val="Normal1"/>
              <w:widowControl w:val="false"/>
              <w:numPr>
                <w:ilvl w:val="0"/>
                <w:numId w:val="9"/>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Listar Relatório de Resultado de Migração de Bens</w:t>
            </w:r>
          </w:p>
          <w:p>
            <w:pPr>
              <w:pStyle w:val="Normal1"/>
              <w:widowControl w:val="false"/>
              <w:spacing w:lineRule="auto" w:line="240"/>
              <w:rPr>
                <w:rFonts w:ascii="Times New Roman" w:hAnsi="Times New Roman" w:eastAsia="Times New Roman" w:cs="Times New Roman"/>
                <w:sz w:val="16"/>
                <w:szCs w:val="16"/>
              </w:rPr>
            </w:pPr>
            <w:r>
              <w:rPr>
                <w:rFonts w:eastAsia="Times New Roman" w:cs="Times New Roman" w:ascii="Times New Roman" w:hAnsi="Times New Roman"/>
                <w:sz w:val="16"/>
                <w:szCs w:val="16"/>
              </w:rPr>
              <w:t> </w:t>
            </w:r>
          </w:p>
        </w:tc>
      </w:tr>
    </w:tbl>
    <w:tbl>
      <w:tblPr>
        <w:tblStyle w:val="Table12"/>
        <w:tblW w:w="9637" w:type="dxa"/>
        <w:jc w:val="left"/>
        <w:tblInd w:w="0" w:type="dxa"/>
        <w:tblLayout w:type="fixed"/>
        <w:tblCellMar>
          <w:top w:w="0" w:type="dxa"/>
          <w:left w:w="108" w:type="dxa"/>
          <w:bottom w:w="0" w:type="dxa"/>
          <w:right w:w="108" w:type="dxa"/>
        </w:tblCellMar>
        <w:tblLook w:val="0000"/>
      </w:tblPr>
      <w:tblGrid>
        <w:gridCol w:w="1417"/>
        <w:gridCol w:w="8219"/>
      </w:tblGrid>
      <w:tr>
        <w:trPr/>
        <w:tc>
          <w:tcPr>
            <w:tcW w:w="1417" w:type="dxa"/>
            <w:tcBorders/>
            <w:vAlign w:val="center"/>
          </w:tcPr>
          <w:p>
            <w:pPr>
              <w:pStyle w:val="Normal1"/>
              <w:widowControl w:val="false"/>
              <w:spacing w:lineRule="auto" w:line="240"/>
              <w:rPr>
                <w:rFonts w:ascii="Times New Roman" w:hAnsi="Times New Roman" w:eastAsia="Times New Roman" w:cs="Times New Roman"/>
                <w:sz w:val="24"/>
                <w:szCs w:val="24"/>
              </w:rPr>
            </w:pPr>
            <w:r>
              <w:rPr/>
              <w:drawing>
                <wp:inline distT="0" distB="0" distL="0" distR="0">
                  <wp:extent cx="784225" cy="962660"/>
                  <wp:effectExtent l="0" t="0" r="0" b="0"/>
                  <wp:docPr id="1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descr=""/>
                          <pic:cNvPicPr>
                            <a:picLocks noChangeAspect="1" noChangeArrowheads="1"/>
                          </pic:cNvPicPr>
                        </pic:nvPicPr>
                        <pic:blipFill>
                          <a:blip r:embed="rId11"/>
                          <a:stretch>
                            <a:fillRect/>
                          </a:stretch>
                        </pic:blipFill>
                        <pic:spPr bwMode="auto">
                          <a:xfrm>
                            <a:off x="0" y="0"/>
                            <a:ext cx="784225" cy="962660"/>
                          </a:xfrm>
                          <a:prstGeom prst="rect">
                            <a:avLst/>
                          </a:prstGeom>
                        </pic:spPr>
                      </pic:pic>
                    </a:graphicData>
                  </a:graphic>
                </wp:inline>
              </w:drawing>
            </w:r>
          </w:p>
        </w:tc>
        <w:tc>
          <w:tcPr>
            <w:tcW w:w="8219" w:type="dxa"/>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GESTOR ADMINISTRATIVO: </w:t>
            </w:r>
            <w:r>
              <w:rPr>
                <w:rFonts w:eastAsia="Times New Roman" w:cs="Times New Roman" w:ascii="Times New Roman" w:hAnsi="Times New Roman"/>
                <w:sz w:val="24"/>
                <w:szCs w:val="24"/>
              </w:rPr>
              <w:t>É aquele que acompanha a movimentação de materiais e bens nos centros de custos, enxergando as atividades efetuadas pelos requisitantes, almoxarifes  e gestores patrimoniais, e coordenando os inventários físicos por intermédio do sistema. As permissões correspondentes a este perfil são</w:t>
            </w:r>
            <w:r>
              <w:rPr>
                <w:sz w:val="24"/>
                <w:szCs w:val="24"/>
              </w:rPr>
              <w:t>:</w:t>
            </w:r>
          </w:p>
        </w:tc>
      </w:tr>
    </w:tbl>
    <w:tbl>
      <w:tblPr>
        <w:tblStyle w:val="Table13"/>
        <w:tblW w:w="9637" w:type="dxa"/>
        <w:jc w:val="left"/>
        <w:tblInd w:w="0" w:type="dxa"/>
        <w:tblLayout w:type="fixed"/>
        <w:tblCellMar>
          <w:top w:w="0" w:type="dxa"/>
          <w:left w:w="108" w:type="dxa"/>
          <w:bottom w:w="0" w:type="dxa"/>
          <w:right w:w="108" w:type="dxa"/>
        </w:tblCellMar>
        <w:tblLook w:val="0000"/>
      </w:tblPr>
      <w:tblGrid>
        <w:gridCol w:w="3117"/>
        <w:gridCol w:w="3403"/>
        <w:gridCol w:w="3117"/>
      </w:tblGrid>
      <w:tr>
        <w:trPr/>
        <w:tc>
          <w:tcPr>
            <w:tcW w:w="3117" w:type="dxa"/>
            <w:tcBorders/>
          </w:tcPr>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commentRangeStart w:id="35"/>
            <w:r>
              <w:rPr>
                <w:rFonts w:eastAsia="Times New Roman" w:cs="Times New Roman" w:ascii="Times New Roman" w:hAnsi="Times New Roman"/>
                <w:sz w:val="16"/>
                <w:szCs w:val="16"/>
              </w:rPr>
              <w:t>Atender Requisição de Almoxarifado</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Baixa (Consumo)</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Devolução</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Doação (Consumo)</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Requisitar Material (Consumo)</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Registro de Preço</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Cotação Eletrônica</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Nota Fiscal</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Consultar Notas Fiscais Salvas</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Solicitar Cancelamento de Nota Fiscal</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Requisição de Bens</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Solicitar Cadastro de Material no Catálogo</w:t>
            </w:r>
          </w:p>
          <w:p>
            <w:pPr>
              <w:pStyle w:val="Normal1"/>
              <w:widowControl w:val="false"/>
              <w:numPr>
                <w:ilvl w:val="0"/>
                <w:numId w:val="4"/>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 Material no SIGA/SGBM</w:t>
            </w:r>
          </w:p>
        </w:tc>
        <w:tc>
          <w:tcPr>
            <w:tcW w:w="3403" w:type="dxa"/>
            <w:tcBorders/>
          </w:tcPr>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Cadastrar/Pesquisar Coordenador Jurídico</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10 Itens</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Consumo Geral do Período</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Consumo por Setor</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Consumo por Categoria</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Curva ABC de Estoque</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Curva ABC de Giro de Estoque</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Entrada Período</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Entradas x Saídas</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Itens Parados</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Itens Cadastrados por Tipo</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Movimentação de Estoque</w:t>
            </w:r>
          </w:p>
          <w:p>
            <w:pPr>
              <w:pStyle w:val="Normal1"/>
              <w:widowControl w:val="false"/>
              <w:numPr>
                <w:ilvl w:val="0"/>
                <w:numId w:val="17"/>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Posição de Estoque</w:t>
            </w:r>
          </w:p>
        </w:tc>
        <w:tc>
          <w:tcPr>
            <w:tcW w:w="3117" w:type="dxa"/>
            <w:tcBorders/>
          </w:tcPr>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Razão Movimentação</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Baixas (Consumo)</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Doação (Consumo)</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Entradas</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Fornecedores</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Requisições</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 de Bens</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Migrar Dados (Consumo)</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Consultar Migração (Consumo)</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Gerar Fechamento Almoxarifado</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Gerar Inventário (Consumo)</w:t>
            </w:r>
          </w:p>
          <w:p>
            <w:pPr>
              <w:pStyle w:val="Normal1"/>
              <w:widowControl w:val="false"/>
              <w:numPr>
                <w:ilvl w:val="0"/>
                <w:numId w:val="2"/>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Gerenciar Pessoas do Inventário (Consumo)</w:t>
            </w:r>
          </w:p>
        </w:tc>
      </w:tr>
    </w:tbl>
    <w:p>
      <w:pPr>
        <w:pStyle w:val="Normal1"/>
        <w:spacing w:lineRule="auto" w:line="240"/>
        <w:rPr>
          <w:rFonts w:ascii="Times New Roman" w:hAnsi="Times New Roman" w:eastAsia="Times New Roman" w:cs="Times New Roman"/>
          <w:sz w:val="24"/>
          <w:szCs w:val="24"/>
        </w:rPr>
      </w:pPr>
      <w:commentRangeEnd w:id="35"/>
      <w:r>
        <w:commentReference w:id="35"/>
      </w:r>
      <w:r>
        <w:rPr/>
      </w:r>
      <w:bookmarkStart w:id="6" w:name="kix.32wn18t5xm3w"/>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End w:id="6"/>
    </w:p>
    <w:tbl>
      <w:tblPr>
        <w:tblStyle w:val="Table14"/>
        <w:tblW w:w="9637" w:type="dxa"/>
        <w:jc w:val="left"/>
        <w:tblInd w:w="0" w:type="dxa"/>
        <w:tblLayout w:type="fixed"/>
        <w:tblCellMar>
          <w:top w:w="0" w:type="dxa"/>
          <w:left w:w="108" w:type="dxa"/>
          <w:bottom w:w="0" w:type="dxa"/>
          <w:right w:w="108" w:type="dxa"/>
        </w:tblCellMar>
        <w:tblLook w:val="0000"/>
      </w:tblPr>
      <w:tblGrid>
        <w:gridCol w:w="1134"/>
        <w:gridCol w:w="8502"/>
      </w:tblGrid>
      <w:tr>
        <w:trPr/>
        <w:tc>
          <w:tcPr>
            <w:tcW w:w="1134" w:type="dxa"/>
            <w:tcBorders/>
            <w:vAlign w:val="center"/>
          </w:tcPr>
          <w:p>
            <w:pPr>
              <w:pStyle w:val="Normal1"/>
              <w:widowControl w:val="false"/>
              <w:spacing w:lineRule="auto" w:line="240"/>
              <w:rPr>
                <w:rFonts w:ascii="Times New Roman" w:hAnsi="Times New Roman" w:eastAsia="Times New Roman" w:cs="Times New Roman"/>
                <w:sz w:val="24"/>
                <w:szCs w:val="24"/>
              </w:rPr>
            </w:pPr>
            <w:r>
              <w:rPr/>
              <w:drawing>
                <wp:inline distT="0" distB="0" distL="0" distR="0">
                  <wp:extent cx="683260" cy="1358900"/>
                  <wp:effectExtent l="0" t="0" r="0" b="0"/>
                  <wp:docPr id="1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png" descr=""/>
                          <pic:cNvPicPr>
                            <a:picLocks noChangeAspect="1" noChangeArrowheads="1"/>
                          </pic:cNvPicPr>
                        </pic:nvPicPr>
                        <pic:blipFill>
                          <a:blip r:embed="rId12"/>
                          <a:stretch>
                            <a:fillRect/>
                          </a:stretch>
                        </pic:blipFill>
                        <pic:spPr bwMode="auto">
                          <a:xfrm>
                            <a:off x="0" y="0"/>
                            <a:ext cx="683260" cy="1358900"/>
                          </a:xfrm>
                          <a:prstGeom prst="rect">
                            <a:avLst/>
                          </a:prstGeom>
                        </pic:spPr>
                      </pic:pic>
                    </a:graphicData>
                  </a:graphic>
                </wp:inline>
              </w:drawing>
            </w:r>
          </w:p>
        </w:tc>
        <w:tc>
          <w:tcPr>
            <w:tcW w:w="8502" w:type="dxa"/>
            <w:tcBorders/>
          </w:tcPr>
          <w:p>
            <w:pPr>
              <w:pStyle w:val="Normal1"/>
              <w:widowControl w:val="false"/>
              <w:spacing w:lineRule="auto" w:line="360"/>
              <w:jc w:val="both"/>
              <w:rPr>
                <w:rFonts w:ascii="Times New Roman" w:hAnsi="Times New Roman" w:eastAsia="Times New Roman" w:cs="Times New Roman"/>
                <w:sz w:val="24"/>
                <w:szCs w:val="24"/>
              </w:rPr>
            </w:pPr>
            <w:commentRangeStart w:id="36"/>
            <w:r>
              <w:rPr>
                <w:rFonts w:eastAsia="Times New Roman" w:cs="Times New Roman" w:ascii="Times New Roman" w:hAnsi="Times New Roman"/>
                <w:b/>
                <w:sz w:val="24"/>
                <w:szCs w:val="24"/>
              </w:rPr>
              <w:t xml:space="preserve">GESTOR FINANCEIRO: </w:t>
            </w:r>
            <w:r>
              <w:rPr>
                <w:rFonts w:eastAsia="Times New Roman" w:cs="Times New Roman" w:ascii="Times New Roman" w:hAnsi="Times New Roman"/>
                <w:sz w:val="24"/>
                <w:szCs w:val="24"/>
              </w:rPr>
              <w:t>É aquele que acompanha a movimentação de materiais e bens nos centros de custos, aprovando e validando operações de cancelamento de notas, fechamentos mensais, assim como retirando relatórios do sistema para conciliações e fechamentos financeiros do almoxarifado e patrimônio. As permissões correspondentes a este perfil são:</w:t>
            </w:r>
            <w:commentRangeEnd w:id="36"/>
            <w:r>
              <w:commentReference w:id="36"/>
            </w:r>
            <w:r>
              <w:rPr>
                <w:rFonts w:eastAsia="Times New Roman" w:cs="Times New Roman" w:ascii="Times New Roman" w:hAnsi="Times New Roman"/>
                <w:sz w:val="24"/>
                <w:szCs w:val="24"/>
              </w:rPr>
            </w:r>
          </w:p>
        </w:tc>
      </w:tr>
    </w:tbl>
    <w:p>
      <w:pPr>
        <w:pStyle w:val="Normal1"/>
        <w:spacing w:lineRule="auto" w:line="240"/>
        <w:rPr>
          <w:rFonts w:ascii="Times New Roman" w:hAnsi="Times New Roman" w:eastAsia="Times New Roman" w:cs="Times New Roman"/>
          <w:sz w:val="16"/>
          <w:szCs w:val="16"/>
        </w:rPr>
      </w:pPr>
      <w:r>
        <w:rPr>
          <w:rFonts w:eastAsia="Times New Roman" w:cs="Times New Roman" w:ascii="Times New Roman" w:hAnsi="Times New Roman"/>
          <w:sz w:val="16"/>
          <w:szCs w:val="16"/>
        </w:rPr>
      </w:r>
    </w:p>
    <w:tbl>
      <w:tblPr>
        <w:tblStyle w:val="Table15"/>
        <w:tblW w:w="9637" w:type="dxa"/>
        <w:jc w:val="left"/>
        <w:tblInd w:w="0" w:type="dxa"/>
        <w:tblLayout w:type="fixed"/>
        <w:tblCellMar>
          <w:top w:w="0" w:type="dxa"/>
          <w:left w:w="108" w:type="dxa"/>
          <w:bottom w:w="0" w:type="dxa"/>
          <w:right w:w="108" w:type="dxa"/>
        </w:tblCellMar>
        <w:tblLook w:val="0000"/>
      </w:tblPr>
      <w:tblGrid>
        <w:gridCol w:w="2872"/>
        <w:gridCol w:w="3648"/>
        <w:gridCol w:w="3117"/>
      </w:tblGrid>
      <w:tr>
        <w:trPr/>
        <w:tc>
          <w:tcPr>
            <w:tcW w:w="2872" w:type="dxa"/>
            <w:tcBorders/>
          </w:tcPr>
          <w:p>
            <w:pPr>
              <w:pStyle w:val="Normal1"/>
              <w:widowControl w:val="false"/>
              <w:numPr>
                <w:ilvl w:val="0"/>
                <w:numId w:val="13"/>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Validar Movimentos de Bens (Validação Financeiro)</w:t>
            </w:r>
          </w:p>
          <w:p>
            <w:pPr>
              <w:pStyle w:val="Normal1"/>
              <w:widowControl w:val="false"/>
              <w:numPr>
                <w:ilvl w:val="0"/>
                <w:numId w:val="13"/>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Baixa (Consumo)</w:t>
            </w:r>
          </w:p>
          <w:p>
            <w:pPr>
              <w:pStyle w:val="Normal1"/>
              <w:widowControl w:val="false"/>
              <w:numPr>
                <w:ilvl w:val="0"/>
                <w:numId w:val="13"/>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Devolução</w:t>
            </w:r>
          </w:p>
          <w:p>
            <w:pPr>
              <w:pStyle w:val="Normal1"/>
              <w:widowControl w:val="false"/>
              <w:numPr>
                <w:ilvl w:val="0"/>
                <w:numId w:val="13"/>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Doação (Consumo)</w:t>
            </w:r>
          </w:p>
          <w:p>
            <w:pPr>
              <w:pStyle w:val="Normal1"/>
              <w:widowControl w:val="false"/>
              <w:numPr>
                <w:ilvl w:val="0"/>
                <w:numId w:val="13"/>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Registro de Preço</w:t>
            </w:r>
          </w:p>
          <w:p>
            <w:pPr>
              <w:pStyle w:val="Normal1"/>
              <w:widowControl w:val="false"/>
              <w:numPr>
                <w:ilvl w:val="0"/>
                <w:numId w:val="13"/>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Cotação Eletrônica</w:t>
            </w:r>
          </w:p>
          <w:p>
            <w:pPr>
              <w:pStyle w:val="Normal1"/>
              <w:widowControl w:val="false"/>
              <w:numPr>
                <w:ilvl w:val="0"/>
                <w:numId w:val="13"/>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Entrada por Nota Fiscal</w:t>
            </w:r>
          </w:p>
          <w:p>
            <w:pPr>
              <w:pStyle w:val="Normal1"/>
              <w:widowControl w:val="false"/>
              <w:numPr>
                <w:ilvl w:val="0"/>
                <w:numId w:val="13"/>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Consultar Notas Fiscais Salvas</w:t>
            </w:r>
          </w:p>
        </w:tc>
        <w:tc>
          <w:tcPr>
            <w:tcW w:w="3648" w:type="dxa"/>
            <w:tcBorders/>
          </w:tcPr>
          <w:p>
            <w:pPr>
              <w:pStyle w:val="Normal1"/>
              <w:widowControl w:val="false"/>
              <w:numPr>
                <w:ilvl w:val="0"/>
                <w:numId w:val="10"/>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Autorizar Cancelamento de Nota Fiscal</w:t>
            </w:r>
          </w:p>
          <w:p>
            <w:pPr>
              <w:pStyle w:val="Normal1"/>
              <w:widowControl w:val="false"/>
              <w:numPr>
                <w:ilvl w:val="0"/>
                <w:numId w:val="10"/>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Solicitar Cadastro de Material no Catálogo</w:t>
            </w:r>
          </w:p>
          <w:p>
            <w:pPr>
              <w:pStyle w:val="Normal1"/>
              <w:widowControl w:val="false"/>
              <w:numPr>
                <w:ilvl w:val="0"/>
                <w:numId w:val="10"/>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Cadastrar Material no SIGA/SGBM</w:t>
            </w:r>
          </w:p>
          <w:p>
            <w:pPr>
              <w:pStyle w:val="Normal1"/>
              <w:widowControl w:val="false"/>
              <w:numPr>
                <w:ilvl w:val="0"/>
                <w:numId w:val="10"/>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10 Itens</w:t>
            </w:r>
          </w:p>
          <w:p>
            <w:pPr>
              <w:pStyle w:val="Normal1"/>
              <w:widowControl w:val="false"/>
              <w:numPr>
                <w:ilvl w:val="0"/>
                <w:numId w:val="10"/>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Relatório de Consumo por Categoria</w:t>
            </w:r>
          </w:p>
          <w:p>
            <w:pPr>
              <w:pStyle w:val="Normal1"/>
              <w:widowControl w:val="false"/>
              <w:numPr>
                <w:ilvl w:val="0"/>
                <w:numId w:val="10"/>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Gerenciar Inventário (Consumo)</w:t>
            </w:r>
          </w:p>
          <w:p>
            <w:pPr>
              <w:pStyle w:val="Normal1"/>
              <w:widowControl w:val="false"/>
              <w:numPr>
                <w:ilvl w:val="0"/>
                <w:numId w:val="10"/>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Gerar Fechamento Almoxarifado</w:t>
            </w:r>
          </w:p>
          <w:p>
            <w:pPr>
              <w:pStyle w:val="Normal1"/>
              <w:widowControl w:val="false"/>
              <w:numPr>
                <w:ilvl w:val="0"/>
                <w:numId w:val="10"/>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Implantação de Bens &gt; Entrada de Inventário</w:t>
            </w:r>
          </w:p>
        </w:tc>
        <w:tc>
          <w:tcPr>
            <w:tcW w:w="3117" w:type="dxa"/>
            <w:tcBorders/>
          </w:tcPr>
          <w:p>
            <w:pPr>
              <w:pStyle w:val="Normal1"/>
              <w:widowControl w:val="false"/>
              <w:numPr>
                <w:ilvl w:val="0"/>
                <w:numId w:val="15"/>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Implantação de Bens &gt; Pendências de Inventário</w:t>
            </w:r>
          </w:p>
          <w:p>
            <w:pPr>
              <w:pStyle w:val="Normal1"/>
              <w:widowControl w:val="false"/>
              <w:numPr>
                <w:ilvl w:val="0"/>
                <w:numId w:val="15"/>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Implantação de Bens &gt; Relatório de Resultado de Migração</w:t>
            </w:r>
          </w:p>
          <w:p>
            <w:pPr>
              <w:pStyle w:val="Normal1"/>
              <w:widowControl w:val="false"/>
              <w:numPr>
                <w:ilvl w:val="0"/>
                <w:numId w:val="15"/>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Reavaliação &gt; Cadastrar</w:t>
            </w:r>
          </w:p>
          <w:p>
            <w:pPr>
              <w:pStyle w:val="Normal1"/>
              <w:widowControl w:val="false"/>
              <w:numPr>
                <w:ilvl w:val="0"/>
                <w:numId w:val="15"/>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Reavaliação &gt; Pesquisar</w:t>
            </w:r>
          </w:p>
          <w:p>
            <w:pPr>
              <w:pStyle w:val="Normal1"/>
              <w:widowControl w:val="false"/>
              <w:numPr>
                <w:ilvl w:val="0"/>
                <w:numId w:val="15"/>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Redução ao Vlr Recuperável &gt; Cadastrar</w:t>
            </w:r>
          </w:p>
          <w:p>
            <w:pPr>
              <w:pStyle w:val="Normal1"/>
              <w:widowControl w:val="false"/>
              <w:numPr>
                <w:ilvl w:val="0"/>
                <w:numId w:val="15"/>
              </w:numPr>
              <w:spacing w:lineRule="auto" w:line="240"/>
              <w:ind w:left="720" w:hanging="360"/>
              <w:rPr>
                <w:rFonts w:ascii="Times New Roman" w:hAnsi="Times New Roman" w:eastAsia="Times New Roman" w:cs="Times New Roman"/>
                <w:sz w:val="16"/>
                <w:szCs w:val="16"/>
              </w:rPr>
            </w:pPr>
            <w:r>
              <w:rPr>
                <w:rFonts w:eastAsia="Times New Roman" w:cs="Times New Roman" w:ascii="Times New Roman" w:hAnsi="Times New Roman"/>
                <w:sz w:val="16"/>
                <w:szCs w:val="16"/>
              </w:rPr>
              <w:t>Redução ao Vlr Recuperável &gt; Pesquisar</w:t>
            </w:r>
          </w:p>
          <w:p>
            <w:pPr>
              <w:pStyle w:val="Normal1"/>
              <w:widowControl w:val="false"/>
              <w:spacing w:lineRule="auto" w:line="240"/>
              <w:rPr>
                <w:rFonts w:ascii="Times New Roman" w:hAnsi="Times New Roman" w:eastAsia="Times New Roman" w:cs="Times New Roman"/>
                <w:sz w:val="16"/>
                <w:szCs w:val="16"/>
              </w:rPr>
            </w:pPr>
            <w:r>
              <w:rPr>
                <w:rFonts w:eastAsia="Times New Roman" w:cs="Times New Roman" w:ascii="Times New Roman" w:hAnsi="Times New Roman"/>
                <w:sz w:val="16"/>
                <w:szCs w:val="16"/>
              </w:rPr>
              <w:t> </w:t>
            </w:r>
          </w:p>
        </w:tc>
      </w:tr>
    </w:tbl>
    <w:tbl>
      <w:tblPr>
        <w:tblStyle w:val="Table16"/>
        <w:tblW w:w="9637" w:type="dxa"/>
        <w:jc w:val="left"/>
        <w:tblInd w:w="0" w:type="dxa"/>
        <w:tblLayout w:type="fixed"/>
        <w:tblCellMar>
          <w:top w:w="0" w:type="dxa"/>
          <w:left w:w="108" w:type="dxa"/>
          <w:bottom w:w="0" w:type="dxa"/>
          <w:right w:w="108" w:type="dxa"/>
        </w:tblCellMar>
        <w:tblLook w:val="0000"/>
      </w:tblPr>
      <w:tblGrid>
        <w:gridCol w:w="1842"/>
        <w:gridCol w:w="7794"/>
      </w:tblGrid>
      <w:tr>
        <w:trPr/>
        <w:tc>
          <w:tcPr>
            <w:tcW w:w="1842" w:type="dxa"/>
            <w:tcBorders/>
            <w:vAlign w:val="center"/>
          </w:tcPr>
          <w:p>
            <w:pPr>
              <w:pStyle w:val="Normal1"/>
              <w:widowControl w:val="false"/>
              <w:spacing w:lineRule="auto" w:line="240"/>
              <w:rPr>
                <w:rFonts w:ascii="Times New Roman" w:hAnsi="Times New Roman" w:eastAsia="Times New Roman" w:cs="Times New Roman"/>
                <w:sz w:val="24"/>
                <w:szCs w:val="24"/>
              </w:rPr>
            </w:pPr>
            <w:commentRangeStart w:id="37"/>
            <w:r>
              <w:rPr/>
              <w:drawing>
                <wp:inline distT="0" distB="0" distL="0" distR="0">
                  <wp:extent cx="1047750" cy="999490"/>
                  <wp:effectExtent l="0" t="0" r="0" b="0"/>
                  <wp:docPr id="1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descr=""/>
                          <pic:cNvPicPr>
                            <a:picLocks noChangeAspect="1" noChangeArrowheads="1"/>
                          </pic:cNvPicPr>
                        </pic:nvPicPr>
                        <pic:blipFill>
                          <a:blip r:embed="rId13"/>
                          <a:stretch>
                            <a:fillRect/>
                          </a:stretch>
                        </pic:blipFill>
                        <pic:spPr bwMode="auto">
                          <a:xfrm>
                            <a:off x="0" y="0"/>
                            <a:ext cx="1047750" cy="999490"/>
                          </a:xfrm>
                          <a:prstGeom prst="rect">
                            <a:avLst/>
                          </a:prstGeom>
                        </pic:spPr>
                      </pic:pic>
                    </a:graphicData>
                  </a:graphic>
                </wp:inline>
              </w:drawing>
            </w:r>
          </w:p>
        </w:tc>
        <w:tc>
          <w:tcPr>
            <w:tcW w:w="7794" w:type="dxa"/>
            <w:tcBorders/>
          </w:tcPr>
          <w:p>
            <w:pPr>
              <w:pStyle w:val="Normal1"/>
              <w:widowControl w:val="false"/>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REQUISITANTE: </w:t>
            </w:r>
            <w:r>
              <w:rPr>
                <w:rFonts w:eastAsia="Times New Roman" w:cs="Times New Roman" w:ascii="Times New Roman" w:hAnsi="Times New Roman"/>
                <w:sz w:val="24"/>
                <w:szCs w:val="24"/>
              </w:rPr>
              <w:t>É aquele que solicita material de consumo ou material permanente ao almoxarifado. O Siga/Sgbm foi construído para que tais usuários façam seus pedidos de material por intermédio da rede de computadores, possibilitando maior agilidade e controle, e evitando a manipulação desnecessária de papel. </w:t>
            </w:r>
          </w:p>
        </w:tc>
      </w:tr>
      <w:tr>
        <w:trPr/>
        <w:tc>
          <w:tcPr>
            <w:tcW w:w="9636" w:type="dxa"/>
            <w:gridSpan w:val="2"/>
            <w:tcBorders/>
            <w:vAlign w:val="center"/>
          </w:tcPr>
          <w:p>
            <w:pPr>
              <w:pStyle w:val="Normal1"/>
              <w:widowControl w:val="false"/>
              <w:spacing w:lineRule="auto" w:line="360"/>
              <w:jc w:val="both"/>
              <w:rPr>
                <w:rFonts w:ascii="Times New Roman" w:hAnsi="Times New Roman" w:eastAsia="Times New Roman" w:cs="Times New Roman"/>
                <w:sz w:val="24"/>
                <w:szCs w:val="24"/>
              </w:rPr>
            </w:pPr>
            <w:r>
              <w:rPr/>
            </w:r>
            <w:commentRangeEnd w:id="37"/>
            <w:r>
              <w:commentReference w:id="37"/>
            </w:r>
            <w:r>
              <w:rPr>
                <w:rFonts w:eastAsia="Times New Roman" w:cs="Times New Roman" w:ascii="Times New Roman" w:hAnsi="Times New Roman"/>
                <w:sz w:val="24"/>
                <w:szCs w:val="24"/>
              </w:rPr>
              <w:t>Os requisitantes limitam-se a fazer o pedido de materiais e não enxergam a quantidade de saldo no almoxarifado. O requisitante está vinculado a um único Centro de Custo, ou seja, cada setor do órgão deve ter um ou dois requisitantes, para que por meio do computador façam os seus pedidos. As permissões correspondentes a este perfil são:</w:t>
            </w:r>
          </w:p>
        </w:tc>
      </w:tr>
    </w:tbl>
    <w:p>
      <w:pPr>
        <w:pStyle w:val="Normal1"/>
        <w:spacing w:lineRule="auto" w:line="24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1"/>
        <w:numPr>
          <w:ilvl w:val="0"/>
          <w:numId w:val="16"/>
        </w:numPr>
        <w:spacing w:lineRule="auto" w:line="240"/>
        <w:ind w:left="714" w:hanging="357"/>
        <w:rPr>
          <w:rFonts w:ascii="Times New Roman" w:hAnsi="Times New Roman" w:eastAsia="Times New Roman" w:cs="Times New Roman"/>
          <w:sz w:val="16"/>
          <w:szCs w:val="16"/>
        </w:rPr>
      </w:pPr>
      <w:commentRangeStart w:id="38"/>
      <w:r>
        <w:rPr>
          <w:rFonts w:eastAsia="Times New Roman" w:cs="Times New Roman" w:ascii="Times New Roman" w:hAnsi="Times New Roman"/>
          <w:sz w:val="16"/>
          <w:szCs w:val="16"/>
        </w:rPr>
        <w:t xml:space="preserve">Requisitar Material de Consumo (vários setores) </w:t>
      </w:r>
    </w:p>
    <w:p>
      <w:pPr>
        <w:pStyle w:val="Normal1"/>
        <w:numPr>
          <w:ilvl w:val="0"/>
          <w:numId w:val="16"/>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Requisitar Bens (vários setores)</w:t>
      </w:r>
    </w:p>
    <w:p>
      <w:pPr>
        <w:pStyle w:val="Normal1"/>
        <w:numPr>
          <w:ilvl w:val="0"/>
          <w:numId w:val="16"/>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Consultar Requisições de Material de Consumo</w:t>
      </w:r>
      <w:commentRangeEnd w:id="38"/>
      <w:r>
        <w:commentReference w:id="38"/>
      </w:r>
      <w:r>
        <w:rPr>
          <w:rFonts w:eastAsia="Times New Roman" w:cs="Times New Roman" w:ascii="Times New Roman" w:hAnsi="Times New Roman"/>
          <w:sz w:val="16"/>
          <w:szCs w:val="16"/>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7"/>
        <w:tblW w:w="9637" w:type="dxa"/>
        <w:jc w:val="left"/>
        <w:tblInd w:w="0" w:type="dxa"/>
        <w:tblLayout w:type="fixed"/>
        <w:tblCellMar>
          <w:top w:w="0" w:type="dxa"/>
          <w:left w:w="108" w:type="dxa"/>
          <w:bottom w:w="0" w:type="dxa"/>
          <w:right w:w="108" w:type="dxa"/>
        </w:tblCellMar>
        <w:tblLook w:val="0000"/>
      </w:tblPr>
      <w:tblGrid>
        <w:gridCol w:w="1700"/>
        <w:gridCol w:w="7936"/>
      </w:tblGrid>
      <w:tr>
        <w:trPr/>
        <w:tc>
          <w:tcPr>
            <w:tcW w:w="1700" w:type="dxa"/>
            <w:tcBorders/>
            <w:vAlign w:val="center"/>
          </w:tcPr>
          <w:p>
            <w:pPr>
              <w:pStyle w:val="Normal1"/>
              <w:widowControl w:val="false"/>
              <w:spacing w:lineRule="auto" w:line="240"/>
              <w:rPr>
                <w:rFonts w:ascii="Times New Roman" w:hAnsi="Times New Roman" w:eastAsia="Times New Roman" w:cs="Times New Roman"/>
                <w:sz w:val="24"/>
                <w:szCs w:val="24"/>
              </w:rPr>
            </w:pPr>
            <w:r>
              <w:rPr/>
              <w:drawing>
                <wp:inline distT="0" distB="0" distL="0" distR="0">
                  <wp:extent cx="1038860" cy="889000"/>
                  <wp:effectExtent l="0" t="0" r="0" b="0"/>
                  <wp:docPr id="1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descr=""/>
                          <pic:cNvPicPr>
                            <a:picLocks noChangeAspect="1" noChangeArrowheads="1"/>
                          </pic:cNvPicPr>
                        </pic:nvPicPr>
                        <pic:blipFill>
                          <a:blip r:embed="rId14"/>
                          <a:stretch>
                            <a:fillRect/>
                          </a:stretch>
                        </pic:blipFill>
                        <pic:spPr bwMode="auto">
                          <a:xfrm>
                            <a:off x="0" y="0"/>
                            <a:ext cx="1038860" cy="889000"/>
                          </a:xfrm>
                          <a:prstGeom prst="rect">
                            <a:avLst/>
                          </a:prstGeom>
                        </pic:spPr>
                      </pic:pic>
                    </a:graphicData>
                  </a:graphic>
                </wp:inline>
              </w:drawing>
            </w:r>
          </w:p>
        </w:tc>
        <w:tc>
          <w:tcPr>
            <w:tcW w:w="7936" w:type="dxa"/>
            <w:tcBorders/>
          </w:tcPr>
          <w:p>
            <w:pPr>
              <w:pStyle w:val="Normal1"/>
              <w:widowControl w:val="false"/>
              <w:spacing w:lineRule="auto" w:line="360"/>
              <w:ind w:left="170" w:hanging="0"/>
              <w:jc w:val="both"/>
              <w:rPr>
                <w:rFonts w:ascii="Times New Roman" w:hAnsi="Times New Roman" w:eastAsia="Times New Roman" w:cs="Times New Roman"/>
                <w:sz w:val="24"/>
                <w:szCs w:val="24"/>
              </w:rPr>
            </w:pPr>
            <w:commentRangeStart w:id="39"/>
            <w:r>
              <w:rPr>
                <w:rFonts w:eastAsia="Times New Roman" w:cs="Times New Roman" w:ascii="Times New Roman" w:hAnsi="Times New Roman"/>
                <w:b/>
                <w:sz w:val="24"/>
                <w:szCs w:val="24"/>
              </w:rPr>
              <w:t xml:space="preserve">REQUISITANTE MULTISETORIAL: </w:t>
            </w:r>
            <w:r>
              <w:rPr>
                <w:rFonts w:eastAsia="Times New Roman" w:cs="Times New Roman" w:ascii="Times New Roman" w:hAnsi="Times New Roman"/>
                <w:sz w:val="24"/>
                <w:szCs w:val="24"/>
              </w:rPr>
              <w:t>É aquele que solicita materiais ou bens para mais de um Centro de Custo, isso deve-se à necessidade de alguns órgãos que abastecem células descentralizadas geograficamente, geralmente localizadas no interior do Estado, e efetuam tal distribuição para não acumularem no Almoxarife/Gestor Patrimonial o atendimento dessas demandas, e assim ter maior celeridade. As permissões correspondentes a este perfil são:</w:t>
            </w:r>
            <w:commentRangeEnd w:id="39"/>
            <w:r>
              <w:commentReference w:id="39"/>
            </w:r>
            <w:r>
              <w:rPr>
                <w:rFonts w:eastAsia="Times New Roman" w:cs="Times New Roman" w:ascii="Times New Roman" w:hAnsi="Times New Roman"/>
                <w:sz w:val="24"/>
                <w:szCs w:val="24"/>
              </w:rPr>
            </w:r>
          </w:p>
        </w:tc>
      </w:tr>
    </w:tbl>
    <w:p>
      <w:pPr>
        <w:pStyle w:val="Normal1"/>
        <w:spacing w:lineRule="auto" w:line="24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1"/>
        <w:numPr>
          <w:ilvl w:val="0"/>
          <w:numId w:val="18"/>
        </w:numPr>
        <w:spacing w:lineRule="auto" w:line="240"/>
        <w:ind w:left="714" w:hanging="357"/>
        <w:rPr>
          <w:rFonts w:ascii="Times New Roman" w:hAnsi="Times New Roman" w:eastAsia="Times New Roman" w:cs="Times New Roman"/>
          <w:sz w:val="16"/>
          <w:szCs w:val="16"/>
        </w:rPr>
      </w:pPr>
      <w:commentRangeStart w:id="40"/>
      <w:r>
        <w:rPr>
          <w:rFonts w:eastAsia="Times New Roman" w:cs="Times New Roman" w:ascii="Times New Roman" w:hAnsi="Times New Roman"/>
          <w:sz w:val="16"/>
          <w:szCs w:val="16"/>
        </w:rPr>
        <w:t xml:space="preserve">Requisitar Material de Consumo (vários setores) </w:t>
      </w:r>
    </w:p>
    <w:p>
      <w:pPr>
        <w:pStyle w:val="Normal1"/>
        <w:numPr>
          <w:ilvl w:val="0"/>
          <w:numId w:val="1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Requisitar Bens (vários setores)</w:t>
      </w:r>
    </w:p>
    <w:p>
      <w:pPr>
        <w:pStyle w:val="Normal1"/>
        <w:numPr>
          <w:ilvl w:val="0"/>
          <w:numId w:val="18"/>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Consultar Requisições de Material de Consumo</w:t>
      </w:r>
      <w:commentRangeEnd w:id="40"/>
      <w:r>
        <w:commentReference w:id="40"/>
      </w:r>
      <w:r>
        <w:rPr>
          <w:rFonts w:eastAsia="Times New Roman" w:cs="Times New Roman" w:ascii="Times New Roman" w:hAnsi="Times New Roman"/>
          <w:sz w:val="16"/>
          <w:szCs w:val="16"/>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18"/>
        <w:tblW w:w="9637" w:type="dxa"/>
        <w:jc w:val="left"/>
        <w:tblInd w:w="0" w:type="dxa"/>
        <w:tblLayout w:type="fixed"/>
        <w:tblCellMar>
          <w:top w:w="0" w:type="dxa"/>
          <w:left w:w="108" w:type="dxa"/>
          <w:bottom w:w="0" w:type="dxa"/>
          <w:right w:w="108" w:type="dxa"/>
        </w:tblCellMar>
        <w:tblLook w:val="0000"/>
      </w:tblPr>
      <w:tblGrid>
        <w:gridCol w:w="1700"/>
        <w:gridCol w:w="7936"/>
      </w:tblGrid>
      <w:tr>
        <w:trPr/>
        <w:tc>
          <w:tcPr>
            <w:tcW w:w="1700" w:type="dxa"/>
            <w:tcBorders/>
            <w:vAlign w:val="center"/>
          </w:tcPr>
          <w:p>
            <w:pPr>
              <w:pStyle w:val="Normal1"/>
              <w:widowControl w:val="false"/>
              <w:spacing w:lineRule="auto" w:line="240"/>
              <w:rPr>
                <w:rFonts w:ascii="Times New Roman" w:hAnsi="Times New Roman" w:eastAsia="Times New Roman" w:cs="Times New Roman"/>
                <w:sz w:val="24"/>
                <w:szCs w:val="24"/>
              </w:rPr>
            </w:pPr>
            <w:r>
              <w:rPr/>
              <w:drawing>
                <wp:inline distT="0" distB="0" distL="0" distR="0">
                  <wp:extent cx="972185" cy="966470"/>
                  <wp:effectExtent l="0" t="0" r="0" b="0"/>
                  <wp:docPr id="1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descr=""/>
                          <pic:cNvPicPr>
                            <a:picLocks noChangeAspect="1" noChangeArrowheads="1"/>
                          </pic:cNvPicPr>
                        </pic:nvPicPr>
                        <pic:blipFill>
                          <a:blip r:embed="rId15"/>
                          <a:stretch>
                            <a:fillRect/>
                          </a:stretch>
                        </pic:blipFill>
                        <pic:spPr bwMode="auto">
                          <a:xfrm>
                            <a:off x="0" y="0"/>
                            <a:ext cx="972185" cy="966470"/>
                          </a:xfrm>
                          <a:prstGeom prst="rect">
                            <a:avLst/>
                          </a:prstGeom>
                        </pic:spPr>
                      </pic:pic>
                    </a:graphicData>
                  </a:graphic>
                </wp:inline>
              </w:drawing>
            </w:r>
          </w:p>
        </w:tc>
        <w:tc>
          <w:tcPr>
            <w:tcW w:w="7936" w:type="dxa"/>
            <w:tcBorders/>
          </w:tcPr>
          <w:p>
            <w:pPr>
              <w:pStyle w:val="Normal1"/>
              <w:widowControl w:val="false"/>
              <w:spacing w:lineRule="auto" w:line="360"/>
              <w:ind w:left="170" w:hanging="0"/>
              <w:jc w:val="both"/>
              <w:rPr>
                <w:rFonts w:ascii="Times New Roman" w:hAnsi="Times New Roman" w:eastAsia="Times New Roman" w:cs="Times New Roman"/>
                <w:sz w:val="24"/>
                <w:szCs w:val="24"/>
              </w:rPr>
            </w:pPr>
            <w:commentRangeStart w:id="41"/>
            <w:r>
              <w:rPr>
                <w:rFonts w:eastAsia="Times New Roman" w:cs="Times New Roman" w:ascii="Times New Roman" w:hAnsi="Times New Roman"/>
                <w:b/>
                <w:sz w:val="24"/>
                <w:szCs w:val="24"/>
              </w:rPr>
              <w:t xml:space="preserve">VALIDADOR: </w:t>
            </w:r>
            <w:r>
              <w:rPr>
                <w:rFonts w:eastAsia="Times New Roman" w:cs="Times New Roman" w:ascii="Times New Roman" w:hAnsi="Times New Roman"/>
                <w:sz w:val="24"/>
                <w:szCs w:val="24"/>
              </w:rPr>
              <w:t>É aquele que verifica se os processos de movimentação patrimonial estão de acordo com a legislação vigente e liberam no sistema para que as doações de bens sigam seu trâmite de aprovação. As permissões correspondentes a este perfil são:</w:t>
            </w:r>
            <w:commentRangeEnd w:id="41"/>
            <w:r>
              <w:commentReference w:id="41"/>
            </w:r>
            <w:r>
              <w:rPr>
                <w:rFonts w:eastAsia="Times New Roman" w:cs="Times New Roman" w:ascii="Times New Roman" w:hAnsi="Times New Roman"/>
                <w:sz w:val="24"/>
                <w:szCs w:val="24"/>
              </w:rPr>
            </w:r>
          </w:p>
        </w:tc>
      </w:tr>
    </w:tbl>
    <w:p>
      <w:pPr>
        <w:pStyle w:val="Normal1"/>
        <w:spacing w:lineRule="auto" w:line="24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1"/>
        <w:numPr>
          <w:ilvl w:val="0"/>
          <w:numId w:val="6"/>
        </w:numPr>
        <w:spacing w:lineRule="auto" w:line="240"/>
        <w:ind w:left="714" w:hanging="357"/>
        <w:rPr>
          <w:rFonts w:ascii="Times New Roman" w:hAnsi="Times New Roman" w:eastAsia="Times New Roman" w:cs="Times New Roman"/>
          <w:sz w:val="16"/>
          <w:szCs w:val="16"/>
        </w:rPr>
      </w:pPr>
      <w:commentRangeStart w:id="42"/>
      <w:r>
        <w:rPr>
          <w:rFonts w:eastAsia="Times New Roman" w:cs="Times New Roman" w:ascii="Times New Roman" w:hAnsi="Times New Roman"/>
          <w:sz w:val="16"/>
          <w:szCs w:val="16"/>
        </w:rPr>
        <w:t>Validação de doações de Bens</w:t>
      </w:r>
    </w:p>
    <w:p>
      <w:pPr>
        <w:pStyle w:val="Normal1"/>
        <w:numPr>
          <w:ilvl w:val="0"/>
          <w:numId w:val="6"/>
        </w:numPr>
        <w:spacing w:lineRule="auto" w:line="240"/>
        <w:ind w:left="714" w:hanging="357"/>
        <w:rPr>
          <w:rFonts w:ascii="Times New Roman" w:hAnsi="Times New Roman" w:eastAsia="Times New Roman" w:cs="Times New Roman"/>
          <w:sz w:val="16"/>
          <w:szCs w:val="16"/>
        </w:rPr>
      </w:pPr>
      <w:r>
        <w:rPr>
          <w:rFonts w:eastAsia="Times New Roman" w:cs="Times New Roman" w:ascii="Times New Roman" w:hAnsi="Times New Roman"/>
          <w:sz w:val="16"/>
          <w:szCs w:val="16"/>
        </w:rPr>
        <w:t>Reversão de Status do Bem.</w:t>
      </w:r>
      <w:commentRangeEnd w:id="42"/>
      <w:r>
        <w:commentReference w:id="42"/>
      </w:r>
      <w:r>
        <w:rPr>
          <w:rFonts w:eastAsia="Times New Roman" w:cs="Times New Roman" w:ascii="Times New Roman" w:hAnsi="Times New Roman"/>
          <w:sz w:val="16"/>
          <w:szCs w:val="16"/>
        </w:rPr>
      </w:r>
    </w:p>
    <w:p>
      <w:pPr>
        <w:pStyle w:val="Normal1"/>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jc w:val="both"/>
        <w:rPr>
          <w:rFonts w:ascii="Times New Roman" w:hAnsi="Times New Roman" w:eastAsia="Times New Roman" w:cs="Times New Roman"/>
          <w:sz w:val="24"/>
          <w:szCs w:val="24"/>
        </w:rPr>
      </w:pPr>
      <w:commentRangeStart w:id="43"/>
      <w:r>
        <w:rPr>
          <w:rFonts w:eastAsia="Times New Roman" w:cs="Times New Roman" w:ascii="Times New Roman" w:hAnsi="Times New Roman"/>
          <w:sz w:val="24"/>
          <w:szCs w:val="24"/>
        </w:rPr>
        <w:t>Uma vez conhecidos os perfis de acesso ao SIGA/SGBM, a solicitação de acesso deverá ser registrada no Sistema de Solicitação de Acesso - SSA, para que seja deferida pela Seplag. Vale ressaltar que o titular do órgão e entidade será quem solicitará o acesso por intermédio do SSA.</w:t>
      </w:r>
      <w:r>
        <w:rPr>
          <w:rFonts w:eastAsia="Times New Roman" w:cs="Times New Roman" w:ascii="Times New Roman" w:hAnsi="Times New Roman"/>
          <w:sz w:val="24"/>
          <w:szCs w:val="24"/>
        </w:rPr>
      </w:r>
      <w:commentRangeEnd w:id="43"/>
      <w:r>
        <w:commentReference w:id="43"/>
      </w:r>
      <w:r>
        <w:rPr>
          <w:rFonts w:eastAsia="Times New Roman" w:cs="Times New Roman" w:ascii="Times New Roman" w:hAnsi="Times New Roman"/>
          <w:sz w:val="24"/>
          <w:szCs w:val="24"/>
        </w:rPr>
        <w:t xml:space="preserve"> </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 acesso ao ser deferido se dará por intermédio do "GUARDIÃO", que é um sistema corporativo que controla o acesso de todos os sistemas corporativos da SEPLAG. </w:t>
      </w:r>
    </w:p>
    <w:p>
      <w:pPr>
        <w:pStyle w:val="Normal1"/>
        <w:spacing w:lineRule="auto" w:line="240"/>
        <w:rPr>
          <w:rFonts w:ascii="Times New Roman" w:hAnsi="Times New Roman" w:eastAsia="Times New Roman" w:cs="Times New Roman"/>
          <w:sz w:val="24"/>
          <w:szCs w:val="24"/>
        </w:rPr>
      </w:pPr>
      <w:commentRangeStart w:id="44"/>
      <w:r>
        <w:rPr>
          <w:rFonts w:eastAsia="Times New Roman" w:cs="Times New Roman" w:ascii="Times New Roman" w:hAnsi="Times New Roman"/>
          <w:sz w:val="24"/>
          <w:szCs w:val="24"/>
        </w:rPr>
        <w:t>O registro da solicitação no SSA deverá conter as seguintes informações:</w:t>
      </w:r>
      <w:commentRangeEnd w:id="44"/>
      <w:r>
        <w:commentReference w:id="44"/>
      </w:r>
      <w:r>
        <w:rPr>
          <w:rFonts w:eastAsia="Times New Roman" w:cs="Times New Roman" w:ascii="Times New Roman" w:hAnsi="Times New Roman"/>
          <w:sz w:val="24"/>
          <w:szCs w:val="24"/>
        </w:rPr>
      </w:r>
    </w:p>
    <w:p>
      <w:pPr>
        <w:pStyle w:val="Normal1"/>
        <w:spacing w:lineRule="auto" w:line="24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1"/>
        <w:numPr>
          <w:ilvl w:val="0"/>
          <w:numId w:val="5"/>
        </w:numPr>
        <w:spacing w:lineRule="auto" w:line="240" w:before="120" w:after="120"/>
        <w:ind w:left="1003" w:hanging="360"/>
        <w:jc w:val="both"/>
        <w:rPr>
          <w:sz w:val="24"/>
          <w:szCs w:val="24"/>
        </w:rPr>
      </w:pPr>
      <w:commentRangeStart w:id="45"/>
      <w:r>
        <w:rPr>
          <w:rFonts w:eastAsia="Times New Roman" w:cs="Times New Roman" w:ascii="Times New Roman" w:hAnsi="Times New Roman"/>
          <w:sz w:val="24"/>
          <w:szCs w:val="24"/>
        </w:rPr>
        <w:t>Nome Completo: Informação obrigatória para identificação do usuário;</w:t>
      </w:r>
    </w:p>
    <w:p>
      <w:pPr>
        <w:pStyle w:val="Normal1"/>
        <w:numPr>
          <w:ilvl w:val="0"/>
          <w:numId w:val="5"/>
        </w:numPr>
        <w:spacing w:lineRule="auto" w:line="240" w:before="120" w:after="120"/>
        <w:ind w:left="1003" w:hanging="360"/>
        <w:jc w:val="both"/>
        <w:rPr>
          <w:sz w:val="24"/>
          <w:szCs w:val="24"/>
        </w:rPr>
      </w:pPr>
      <w:r>
        <w:rPr>
          <w:rFonts w:eastAsia="Times New Roman" w:cs="Times New Roman" w:ascii="Times New Roman" w:hAnsi="Times New Roman"/>
          <w:sz w:val="24"/>
          <w:szCs w:val="24"/>
        </w:rPr>
        <w:t>CPF Nº: Informação obrigatória no GUARDIÃO, que funciona como código de individualização do usuário;</w:t>
      </w:r>
    </w:p>
    <w:p>
      <w:pPr>
        <w:pStyle w:val="Normal1"/>
        <w:numPr>
          <w:ilvl w:val="0"/>
          <w:numId w:val="5"/>
        </w:numPr>
        <w:spacing w:lineRule="auto" w:line="240" w:before="120" w:after="120"/>
        <w:ind w:left="1003" w:hanging="360"/>
        <w:jc w:val="both"/>
        <w:rPr>
          <w:sz w:val="24"/>
          <w:szCs w:val="24"/>
        </w:rPr>
      </w:pPr>
      <w:r>
        <w:rPr>
          <w:rFonts w:eastAsia="Times New Roman" w:cs="Times New Roman" w:ascii="Times New Roman" w:hAnsi="Times New Roman"/>
          <w:sz w:val="24"/>
          <w:szCs w:val="24"/>
        </w:rPr>
        <w:t>E-mail: O e-mail deve ser funcional (.ce.gov.br), outras terminações serão indeferidas;</w:t>
      </w:r>
    </w:p>
    <w:p>
      <w:pPr>
        <w:pStyle w:val="Normal1"/>
        <w:numPr>
          <w:ilvl w:val="0"/>
          <w:numId w:val="5"/>
        </w:numPr>
        <w:spacing w:lineRule="auto" w:line="240" w:before="120" w:after="120"/>
        <w:ind w:left="1003" w:hanging="360"/>
        <w:jc w:val="both"/>
        <w:rPr>
          <w:sz w:val="24"/>
          <w:szCs w:val="24"/>
        </w:rPr>
      </w:pPr>
      <w:r>
        <w:rPr>
          <w:rFonts w:eastAsia="Times New Roman" w:cs="Times New Roman" w:ascii="Times New Roman" w:hAnsi="Times New Roman"/>
          <w:sz w:val="24"/>
          <w:szCs w:val="24"/>
        </w:rPr>
        <w:t>Telefone: Ramal ou telefone para facilitar a localização pelo setor de atendimento, caso seja necessário;</w:t>
      </w:r>
    </w:p>
    <w:p>
      <w:pPr>
        <w:pStyle w:val="Normal1"/>
        <w:numPr>
          <w:ilvl w:val="0"/>
          <w:numId w:val="5"/>
        </w:numPr>
        <w:spacing w:lineRule="auto" w:line="240" w:before="120" w:after="120"/>
        <w:ind w:left="1003" w:hanging="360"/>
        <w:jc w:val="both"/>
        <w:rPr>
          <w:sz w:val="24"/>
          <w:szCs w:val="24"/>
        </w:rPr>
      </w:pPr>
      <w:r>
        <w:rPr>
          <w:rFonts w:eastAsia="Times New Roman" w:cs="Times New Roman" w:ascii="Times New Roman" w:hAnsi="Times New Roman"/>
          <w:sz w:val="24"/>
          <w:szCs w:val="24"/>
        </w:rPr>
        <w:t>Setor no organograma: Centro de Custo onde serão alocadas as despesas de materiais de consumo e a localização dos bens;</w:t>
      </w:r>
    </w:p>
    <w:p>
      <w:pPr>
        <w:pStyle w:val="Normal1"/>
        <w:numPr>
          <w:ilvl w:val="0"/>
          <w:numId w:val="5"/>
        </w:numPr>
        <w:spacing w:lineRule="auto" w:line="240" w:before="120" w:after="120"/>
        <w:ind w:left="1003" w:hanging="360"/>
        <w:jc w:val="both"/>
        <w:rPr>
          <w:sz w:val="24"/>
          <w:szCs w:val="24"/>
        </w:rPr>
      </w:pPr>
      <w:r>
        <w:rPr>
          <w:rFonts w:eastAsia="Times New Roman" w:cs="Times New Roman" w:ascii="Times New Roman" w:hAnsi="Times New Roman"/>
          <w:sz w:val="24"/>
          <w:szCs w:val="24"/>
        </w:rPr>
        <w:t>Perfil: Um dos perfis acima identificados conforme a característica do usuário.</w:t>
      </w:r>
      <w:commentRangeEnd w:id="45"/>
      <w:r>
        <w:commentReference w:id="45"/>
      </w:r>
      <w:r>
        <w:rPr>
          <w:rFonts w:eastAsia="Times New Roman" w:cs="Times New Roman" w:ascii="Times New Roman" w:hAnsi="Times New Roman"/>
          <w:sz w:val="24"/>
          <w:szCs w:val="24"/>
        </w:rPr>
      </w:r>
    </w:p>
    <w:p>
      <w:pPr>
        <w:pStyle w:val="Normal1"/>
        <w:spacing w:lineRule="auto" w:line="240" w:before="12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120" w:after="120"/>
        <w:jc w:val="both"/>
        <w:rPr>
          <w:rFonts w:ascii="Times New Roman" w:hAnsi="Times New Roman" w:eastAsia="Times New Roman" w:cs="Times New Roman"/>
          <w:sz w:val="24"/>
          <w:szCs w:val="24"/>
        </w:rPr>
      </w:pPr>
      <w:commentRangeStart w:id="46"/>
      <w:r>
        <w:rPr>
          <w:rFonts w:eastAsia="Times New Roman" w:cs="Times New Roman" w:ascii="Times New Roman" w:hAnsi="Times New Roman"/>
          <w:sz w:val="24"/>
          <w:szCs w:val="24"/>
        </w:rPr>
        <w:t>O usuário solicitante receberá sua senha pelo e-mail informado e poderá acessar o SIGA/SGBM imediatamente.</w:t>
      </w:r>
    </w:p>
    <w:p>
      <w:pPr>
        <w:pStyle w:val="Normal1"/>
        <w:spacing w:lineRule="auto" w:line="360" w:before="12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Deve ser utilizado preferencialmente o navegador Mozilla Firefox e o acesso ocorrerá inicialmente por intermédio do site da Seplag conforme figura abaixo, mas o usuário poderá colocar o endereço nos "Favoritos" do navegador:</w:t>
      </w:r>
      <w:commentRangeEnd w:id="46"/>
      <w:r>
        <w:commentReference w:id="46"/>
      </w:r>
      <w:r>
        <w:rPr>
          <w:rFonts w:eastAsia="Times New Roman" w:cs="Times New Roman" w:ascii="Times New Roman" w:hAnsi="Times New Roman"/>
          <w:sz w:val="24"/>
          <w:szCs w:val="24"/>
        </w:rPr>
      </w:r>
    </w:p>
    <w:p>
      <w:pPr>
        <w:pStyle w:val="Normal1"/>
        <w:spacing w:lineRule="auto" w:line="240"/>
        <w:jc w:val="center"/>
        <w:rPr>
          <w:rFonts w:ascii="Times New Roman" w:hAnsi="Times New Roman" w:eastAsia="Times New Roman" w:cs="Times New Roman"/>
          <w:sz w:val="24"/>
          <w:szCs w:val="24"/>
        </w:rPr>
      </w:pPr>
      <w:commentRangeStart w:id="47"/>
      <w:r>
        <w:rPr/>
        <w:drawing>
          <wp:inline distT="0" distB="0" distL="0" distR="0">
            <wp:extent cx="5731510" cy="2501900"/>
            <wp:effectExtent l="0" t="0" r="0" b="0"/>
            <wp:docPr id="1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png" descr=""/>
                    <pic:cNvPicPr>
                      <a:picLocks noChangeAspect="1" noChangeArrowheads="1"/>
                    </pic:cNvPicPr>
                  </pic:nvPicPr>
                  <pic:blipFill>
                    <a:blip r:embed="rId16"/>
                    <a:stretch>
                      <a:fillRect/>
                    </a:stretch>
                  </pic:blipFill>
                  <pic:spPr bwMode="auto">
                    <a:xfrm>
                      <a:off x="0" y="0"/>
                      <a:ext cx="5731510" cy="2501900"/>
                    </a:xfrm>
                    <a:prstGeom prst="rect">
                      <a:avLst/>
                    </a:prstGeom>
                  </pic:spPr>
                </pic:pic>
              </a:graphicData>
            </a:graphic>
          </wp:inline>
        </w:drawing>
      </w:r>
      <w:commentRangeEnd w:id="47"/>
      <w:r>
        <w:commentReference w:id="47"/>
      </w:r>
      <w:r>
        <w:rPr/>
      </w:r>
    </w:p>
    <w:p>
      <w:pPr>
        <w:pStyle w:val="Normal1"/>
        <w:spacing w:lineRule="auto" w:line="240"/>
        <w:jc w:val="center"/>
        <w:rPr>
          <w:rFonts w:ascii="Times New Roman" w:hAnsi="Times New Roman" w:eastAsia="Times New Roman" w:cs="Times New Roman"/>
          <w:sz w:val="24"/>
          <w:szCs w:val="24"/>
        </w:rPr>
      </w:pPr>
      <w:r>
        <w:rPr/>
        <w:drawing>
          <wp:inline distT="0" distB="0" distL="0" distR="0">
            <wp:extent cx="424815" cy="424180"/>
            <wp:effectExtent l="0" t="0" r="0" b="0"/>
            <wp:docPr id="1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descr=""/>
                    <pic:cNvPicPr>
                      <a:picLocks noChangeAspect="1" noChangeArrowheads="1"/>
                    </pic:cNvPicPr>
                  </pic:nvPicPr>
                  <pic:blipFill>
                    <a:blip r:embed="rId17"/>
                    <a:stretch>
                      <a:fillRect/>
                    </a:stretch>
                  </pic:blipFill>
                  <pic:spPr bwMode="auto">
                    <a:xfrm>
                      <a:off x="0" y="0"/>
                      <a:ext cx="424815" cy="424180"/>
                    </a:xfrm>
                    <a:prstGeom prst="rect">
                      <a:avLst/>
                    </a:prstGeom>
                  </pic:spPr>
                </pic:pic>
              </a:graphicData>
            </a:graphic>
          </wp:inline>
        </w:drawing>
      </w:r>
    </w:p>
    <w:p>
      <w:pPr>
        <w:pStyle w:val="Normal1"/>
        <w:spacing w:lineRule="auto" w:line="240"/>
        <w:jc w:val="center"/>
        <w:rPr>
          <w:rFonts w:ascii="Times New Roman" w:hAnsi="Times New Roman" w:eastAsia="Times New Roman" w:cs="Times New Roman"/>
          <w:sz w:val="24"/>
          <w:szCs w:val="24"/>
        </w:rPr>
      </w:pPr>
      <w:commentRangeStart w:id="48"/>
      <w:r>
        <w:rPr/>
        <w:drawing>
          <wp:inline distT="0" distB="0" distL="0" distR="0">
            <wp:extent cx="5734050" cy="2238375"/>
            <wp:effectExtent l="0" t="0" r="0" b="0"/>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descr=""/>
                    <pic:cNvPicPr>
                      <a:picLocks noChangeAspect="1" noChangeArrowheads="1"/>
                    </pic:cNvPicPr>
                  </pic:nvPicPr>
                  <pic:blipFill>
                    <a:blip r:embed="rId18"/>
                    <a:stretch>
                      <a:fillRect/>
                    </a:stretch>
                  </pic:blipFill>
                  <pic:spPr bwMode="auto">
                    <a:xfrm>
                      <a:off x="0" y="0"/>
                      <a:ext cx="5734050" cy="2238375"/>
                    </a:xfrm>
                    <a:prstGeom prst="rect">
                      <a:avLst/>
                    </a:prstGeom>
                  </pic:spPr>
                </pic:pic>
              </a:graphicData>
            </a:graphic>
          </wp:inline>
        </w:drawing>
      </w:r>
      <w:commentRangeEnd w:id="48"/>
      <w:r>
        <w:commentReference w:id="48"/>
      </w:r>
      <w:r>
        <w:rPr/>
      </w:r>
    </w:p>
    <w:p>
      <w:pPr>
        <w:pStyle w:val="Normal1"/>
        <w:spacing w:lineRule="auto" w:line="240"/>
        <w:jc w:val="center"/>
        <w:rPr>
          <w:rFonts w:ascii="Times New Roman" w:hAnsi="Times New Roman" w:eastAsia="Times New Roman" w:cs="Times New Roman"/>
          <w:sz w:val="24"/>
          <w:szCs w:val="24"/>
        </w:rPr>
      </w:pPr>
      <w:r>
        <w:rPr/>
        <w:drawing>
          <wp:inline distT="0" distB="0" distL="0" distR="0">
            <wp:extent cx="424815" cy="424180"/>
            <wp:effectExtent l="0" t="0" r="0" b="0"/>
            <wp:docPr id="18"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 descr=""/>
                    <pic:cNvPicPr>
                      <a:picLocks noChangeAspect="1" noChangeArrowheads="1"/>
                    </pic:cNvPicPr>
                  </pic:nvPicPr>
                  <pic:blipFill>
                    <a:blip r:embed="rId19"/>
                    <a:stretch>
                      <a:fillRect/>
                    </a:stretch>
                  </pic:blipFill>
                  <pic:spPr bwMode="auto">
                    <a:xfrm>
                      <a:off x="0" y="0"/>
                      <a:ext cx="424815" cy="424180"/>
                    </a:xfrm>
                    <a:prstGeom prst="rect">
                      <a:avLst/>
                    </a:prstGeom>
                  </pic:spPr>
                </pic:pic>
              </a:graphicData>
            </a:graphic>
          </wp:inline>
        </w:drawing>
      </w:r>
    </w:p>
    <w:p>
      <w:pPr>
        <w:pStyle w:val="Normal1"/>
        <w:spacing w:lineRule="auto" w:line="240"/>
        <w:jc w:val="center"/>
        <w:rPr>
          <w:rFonts w:ascii="Times New Roman" w:hAnsi="Times New Roman" w:eastAsia="Times New Roman" w:cs="Times New Roman"/>
          <w:sz w:val="24"/>
          <w:szCs w:val="24"/>
        </w:rPr>
      </w:pPr>
      <w:commentRangeStart w:id="49"/>
      <w:r>
        <w:rPr/>
        <w:drawing>
          <wp:inline distT="0" distB="0" distL="0" distR="0">
            <wp:extent cx="5731510" cy="2247900"/>
            <wp:effectExtent l="0" t="0" r="0" b="0"/>
            <wp:docPr id="1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descr=""/>
                    <pic:cNvPicPr>
                      <a:picLocks noChangeAspect="1" noChangeArrowheads="1"/>
                    </pic:cNvPicPr>
                  </pic:nvPicPr>
                  <pic:blipFill>
                    <a:blip r:embed="rId20"/>
                    <a:stretch>
                      <a:fillRect/>
                    </a:stretch>
                  </pic:blipFill>
                  <pic:spPr bwMode="auto">
                    <a:xfrm>
                      <a:off x="0" y="0"/>
                      <a:ext cx="5731510" cy="2247900"/>
                    </a:xfrm>
                    <a:prstGeom prst="rect">
                      <a:avLst/>
                    </a:prstGeom>
                  </pic:spPr>
                </pic:pic>
              </a:graphicData>
            </a:graphic>
          </wp:inline>
        </w:drawing>
      </w:r>
      <w:commentRangeEnd w:id="49"/>
      <w:r>
        <w:commentReference w:id="49"/>
      </w:r>
      <w:r>
        <w:rPr/>
      </w:r>
    </w:p>
    <w:p>
      <w:pPr>
        <w:pStyle w:val="Normal1"/>
        <w:spacing w:lineRule="auto" w:line="240"/>
        <w:jc w:val="center"/>
        <w:rPr>
          <w:rFonts w:ascii="Times New Roman" w:hAnsi="Times New Roman" w:eastAsia="Times New Roman" w:cs="Times New Roman"/>
          <w:sz w:val="24"/>
          <w:szCs w:val="24"/>
        </w:rPr>
      </w:pPr>
      <w:r>
        <w:rPr/>
        <w:drawing>
          <wp:inline distT="0" distB="0" distL="0" distR="0">
            <wp:extent cx="424815" cy="424180"/>
            <wp:effectExtent l="0" t="0" r="0" b="0"/>
            <wp:docPr id="2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 descr=""/>
                    <pic:cNvPicPr>
                      <a:picLocks noChangeAspect="1" noChangeArrowheads="1"/>
                    </pic:cNvPicPr>
                  </pic:nvPicPr>
                  <pic:blipFill>
                    <a:blip r:embed="rId21"/>
                    <a:stretch>
                      <a:fillRect/>
                    </a:stretch>
                  </pic:blipFill>
                  <pic:spPr bwMode="auto">
                    <a:xfrm>
                      <a:off x="0" y="0"/>
                      <a:ext cx="424815" cy="424180"/>
                    </a:xfrm>
                    <a:prstGeom prst="rect">
                      <a:avLst/>
                    </a:prstGeom>
                  </pic:spPr>
                </pic:pic>
              </a:graphicData>
            </a:graphic>
          </wp:inline>
        </w:drawing>
      </w:r>
    </w:p>
    <w:p>
      <w:pPr>
        <w:pStyle w:val="Normal1"/>
        <w:spacing w:lineRule="auto" w:line="240"/>
        <w:jc w:val="center"/>
        <w:rPr>
          <w:rFonts w:ascii="Times New Roman" w:hAnsi="Times New Roman" w:eastAsia="Times New Roman" w:cs="Times New Roman"/>
          <w:sz w:val="24"/>
          <w:szCs w:val="24"/>
        </w:rPr>
      </w:pPr>
      <w:r>
        <w:rPr/>
        <w:drawing>
          <wp:inline distT="0" distB="0" distL="0" distR="0">
            <wp:extent cx="2179955" cy="3178175"/>
            <wp:effectExtent l="0" t="0" r="0" b="0"/>
            <wp:docPr id="2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png" descr=""/>
                    <pic:cNvPicPr>
                      <a:picLocks noChangeAspect="1" noChangeArrowheads="1"/>
                    </pic:cNvPicPr>
                  </pic:nvPicPr>
                  <pic:blipFill>
                    <a:blip r:embed="rId22"/>
                    <a:stretch>
                      <a:fillRect/>
                    </a:stretch>
                  </pic:blipFill>
                  <pic:spPr bwMode="auto">
                    <a:xfrm>
                      <a:off x="0" y="0"/>
                      <a:ext cx="2179955" cy="3178175"/>
                    </a:xfrm>
                    <a:prstGeom prst="rect">
                      <a:avLst/>
                    </a:prstGeom>
                  </pic:spPr>
                </pic:pic>
              </a:graphicData>
            </a:graphic>
          </wp:inline>
        </w:drawing>
      </w:r>
    </w:p>
    <w:p>
      <w:pPr>
        <w:pStyle w:val="Normal1"/>
        <w:spacing w:lineRule="auto" w:line="240"/>
        <w:jc w:val="center"/>
        <w:rPr>
          <w:rFonts w:ascii="Times New Roman" w:hAnsi="Times New Roman" w:eastAsia="Times New Roman" w:cs="Times New Roman"/>
          <w:sz w:val="24"/>
          <w:szCs w:val="24"/>
        </w:rPr>
      </w:pPr>
      <w:r>
        <w:rPr/>
        <w:drawing>
          <wp:inline distT="0" distB="0" distL="0" distR="0">
            <wp:extent cx="424815" cy="424180"/>
            <wp:effectExtent l="0" t="0" r="0" b="0"/>
            <wp:docPr id="22"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3" descr=""/>
                    <pic:cNvPicPr>
                      <a:picLocks noChangeAspect="1" noChangeArrowheads="1"/>
                    </pic:cNvPicPr>
                  </pic:nvPicPr>
                  <pic:blipFill>
                    <a:blip r:embed="rId23"/>
                    <a:stretch>
                      <a:fillRect/>
                    </a:stretch>
                  </pic:blipFill>
                  <pic:spPr bwMode="auto">
                    <a:xfrm>
                      <a:off x="0" y="0"/>
                      <a:ext cx="424815" cy="424180"/>
                    </a:xfrm>
                    <a:prstGeom prst="rect">
                      <a:avLst/>
                    </a:prstGeom>
                  </pic:spPr>
                </pic:pic>
              </a:graphicData>
            </a:graphic>
          </wp:inline>
        </w:drawing>
      </w:r>
    </w:p>
    <w:p>
      <w:pPr>
        <w:pStyle w:val="Normal1"/>
        <w:spacing w:lineRule="auto" w:line="360" w:before="120" w:after="120"/>
        <w:jc w:val="center"/>
        <w:rPr>
          <w:rFonts w:ascii="Times New Roman" w:hAnsi="Times New Roman" w:eastAsia="Times New Roman" w:cs="Times New Roman"/>
          <w:sz w:val="24"/>
          <w:szCs w:val="24"/>
        </w:rPr>
      </w:pPr>
      <w:commentRangeStart w:id="50"/>
      <w:r>
        <w:rPr/>
        <w:drawing>
          <wp:inline distT="0" distB="0" distL="0" distR="0">
            <wp:extent cx="5731510" cy="2755900"/>
            <wp:effectExtent l="0" t="0" r="0" b="0"/>
            <wp:docPr id="2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descr=""/>
                    <pic:cNvPicPr>
                      <a:picLocks noChangeAspect="1" noChangeArrowheads="1"/>
                    </pic:cNvPicPr>
                  </pic:nvPicPr>
                  <pic:blipFill>
                    <a:blip r:embed="rId24"/>
                    <a:stretch>
                      <a:fillRect/>
                    </a:stretch>
                  </pic:blipFill>
                  <pic:spPr bwMode="auto">
                    <a:xfrm>
                      <a:off x="0" y="0"/>
                      <a:ext cx="5731510" cy="2755900"/>
                    </a:xfrm>
                    <a:prstGeom prst="rect">
                      <a:avLst/>
                    </a:prstGeom>
                  </pic:spPr>
                </pic:pic>
              </a:graphicData>
            </a:graphic>
          </wp:inline>
        </w:drawing>
      </w:r>
      <w:commentRangeEnd w:id="50"/>
      <w:r>
        <w:commentReference w:id="50"/>
      </w:r>
      <w:r>
        <w:rPr/>
      </w:r>
    </w:p>
    <w:p>
      <w:pPr>
        <w:pStyle w:val="Normal1"/>
        <w:spacing w:lineRule="auto" w:line="24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rPr>
          <w:rFonts w:ascii="Times New Roman" w:hAnsi="Times New Roman" w:eastAsia="Times New Roman" w:cs="Times New Roman"/>
          <w:sz w:val="24"/>
          <w:szCs w:val="24"/>
        </w:rPr>
      </w:pPr>
      <w:commentRangeStart w:id="51"/>
      <w:r>
        <w:rPr>
          <w:rFonts w:eastAsia="Times New Roman" w:cs="Times New Roman" w:ascii="Times New Roman" w:hAnsi="Times New Roman"/>
          <w:b/>
          <w:sz w:val="24"/>
          <w:szCs w:val="24"/>
        </w:rPr>
        <w:t>ATENÇÃO:</w:t>
      </w:r>
    </w:p>
    <w:tbl>
      <w:tblPr>
        <w:tblStyle w:val="Table19"/>
        <w:tblW w:w="9637" w:type="dxa"/>
        <w:jc w:val="left"/>
        <w:tblInd w:w="0" w:type="dxa"/>
        <w:tblLayout w:type="fixed"/>
        <w:tblCellMar>
          <w:top w:w="0" w:type="dxa"/>
          <w:left w:w="108" w:type="dxa"/>
          <w:bottom w:w="0" w:type="dxa"/>
          <w:right w:w="108" w:type="dxa"/>
        </w:tblCellMar>
        <w:tblLook w:val="0000"/>
      </w:tblPr>
      <w:tblGrid>
        <w:gridCol w:w="9637"/>
      </w:tblGrid>
      <w:tr>
        <w:trPr/>
        <w:tc>
          <w:tcPr>
            <w:tcW w:w="9637" w:type="dxa"/>
            <w:tcBorders/>
            <w:shd w:fill="FFFF00" w:val="clear"/>
            <w:vAlign w:val="center"/>
          </w:tcPr>
          <w:p>
            <w:pPr>
              <w:pStyle w:val="Normal1"/>
              <w:widowControl w:val="false"/>
              <w:spacing w:lineRule="auto" w:line="240" w:before="80" w:after="80"/>
              <w:ind w:left="91" w:right="91" w:hanging="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O SIGA/SGBM  até o momento está sendo submetido a uma mudança de versão para que tenha melhor desempenho, em função disso, haverão dois ícones  no grupo </w:t>
            </w:r>
            <w:r>
              <w:rPr>
                <w:rFonts w:eastAsia="Times New Roman" w:cs="Times New Roman" w:ascii="Times New Roman" w:hAnsi="Times New Roman"/>
                <w:b/>
                <w:sz w:val="20"/>
                <w:szCs w:val="20"/>
              </w:rPr>
              <w:t>“GESTÃO DE PROCESSOS”</w:t>
            </w:r>
            <w:r>
              <w:rPr>
                <w:rFonts w:eastAsia="Times New Roman" w:cs="Times New Roman" w:ascii="Times New Roman" w:hAnsi="Times New Roman"/>
                <w:sz w:val="20"/>
                <w:szCs w:val="20"/>
              </w:rPr>
              <w:t>:</w:t>
            </w:r>
          </w:p>
          <w:p>
            <w:pPr>
              <w:pStyle w:val="Normal1"/>
              <w:widowControl w:val="false"/>
              <w:spacing w:lineRule="auto" w:line="240" w:before="80" w:after="80"/>
              <w:ind w:left="91" w:right="91" w:hanging="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t>1 - SIGA/SGBM - V2 é a versão mais recente e, com um duplo clique, acessa exclusivamente o módulo de Almoxarifado.</w:t>
            </w:r>
          </w:p>
          <w:p>
            <w:pPr>
              <w:pStyle w:val="Normal1"/>
              <w:widowControl w:val="false"/>
              <w:spacing w:lineRule="auto" w:line="240" w:before="80" w:after="80"/>
              <w:ind w:left="91" w:right="91" w:hanging="0"/>
              <w:jc w:val="both"/>
              <w:rPr>
                <w:rFonts w:ascii="Times New Roman" w:hAnsi="Times New Roman" w:eastAsia="Times New Roman" w:cs="Times New Roman"/>
                <w:sz w:val="24"/>
                <w:szCs w:val="24"/>
              </w:rPr>
            </w:pPr>
            <w:r>
              <w:rPr>
                <w:rFonts w:eastAsia="Times New Roman" w:cs="Times New Roman" w:ascii="Times New Roman" w:hAnsi="Times New Roman"/>
                <w:sz w:val="20"/>
                <w:szCs w:val="20"/>
              </w:rPr>
              <w:t>2 - SIGA//SGBM é a versão original e, com um duplo clique, acessa as funcionalidades de controle patrimonial.</w:t>
            </w:r>
          </w:p>
        </w:tc>
      </w:tr>
    </w:tbl>
    <w:p>
      <w:pPr>
        <w:pStyle w:val="Normal1"/>
        <w:spacing w:lineRule="auto" w:line="360" w:before="120" w:after="120"/>
        <w:jc w:val="center"/>
        <w:rPr>
          <w:rFonts w:ascii="Times New Roman" w:hAnsi="Times New Roman" w:eastAsia="Times New Roman" w:cs="Times New Roman"/>
          <w:sz w:val="24"/>
          <w:szCs w:val="24"/>
        </w:rPr>
      </w:pPr>
      <w:commentRangeEnd w:id="51"/>
      <w:r>
        <w:commentReference w:id="51"/>
      </w:r>
      <w:r>
        <w:rPr/>
      </w:r>
    </w:p>
    <w:p>
      <w:pPr>
        <w:pStyle w:val="Normal1"/>
        <w:spacing w:lineRule="auto" w:line="360" w:before="120" w:after="120"/>
        <w:rPr>
          <w:rFonts w:ascii="Times New Roman" w:hAnsi="Times New Roman" w:eastAsia="Times New Roman" w:cs="Times New Roman"/>
          <w:sz w:val="24"/>
          <w:szCs w:val="24"/>
        </w:rPr>
      </w:pPr>
      <w:commentRangeStart w:id="52"/>
      <w:r>
        <w:rPr>
          <w:rFonts w:eastAsia="Times New Roman" w:cs="Times New Roman" w:ascii="Times New Roman" w:hAnsi="Times New Roman"/>
          <w:b/>
          <w:sz w:val="24"/>
          <w:szCs w:val="24"/>
        </w:rPr>
        <w:t>TELA DE ENTRADA DO SIGA/SGBM - V2 - MÓDULO DE ALMOXARIFADO</w:t>
      </w:r>
      <w:commentRangeEnd w:id="52"/>
      <w:r>
        <w:commentReference w:id="52"/>
      </w:r>
      <w:r>
        <w:rPr>
          <w:rFonts w:eastAsia="Times New Roman" w:cs="Times New Roman" w:ascii="Times New Roman" w:hAnsi="Times New Roman"/>
          <w:b/>
          <w:sz w:val="24"/>
          <w:szCs w:val="24"/>
        </w:rPr>
      </w:r>
    </w:p>
    <w:p>
      <w:pPr>
        <w:pStyle w:val="Normal1"/>
        <w:spacing w:lineRule="auto" w:line="360" w:before="120" w:after="120"/>
        <w:jc w:val="center"/>
        <w:rPr>
          <w:rFonts w:ascii="Times New Roman" w:hAnsi="Times New Roman" w:eastAsia="Times New Roman" w:cs="Times New Roman"/>
          <w:sz w:val="24"/>
          <w:szCs w:val="24"/>
        </w:rPr>
      </w:pPr>
      <w:commentRangeStart w:id="53"/>
      <w:r>
        <w:rPr/>
        <w:drawing>
          <wp:inline distT="0" distB="0" distL="0" distR="0">
            <wp:extent cx="5731510" cy="2755900"/>
            <wp:effectExtent l="0" t="0" r="0" b="0"/>
            <wp:docPr id="2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png" descr=""/>
                    <pic:cNvPicPr>
                      <a:picLocks noChangeAspect="1" noChangeArrowheads="1"/>
                    </pic:cNvPicPr>
                  </pic:nvPicPr>
                  <pic:blipFill>
                    <a:blip r:embed="rId25"/>
                    <a:stretch>
                      <a:fillRect/>
                    </a:stretch>
                  </pic:blipFill>
                  <pic:spPr bwMode="auto">
                    <a:xfrm>
                      <a:off x="0" y="0"/>
                      <a:ext cx="5731510" cy="2755900"/>
                    </a:xfrm>
                    <a:prstGeom prst="rect">
                      <a:avLst/>
                    </a:prstGeom>
                  </pic:spPr>
                </pic:pic>
              </a:graphicData>
            </a:graphic>
          </wp:inline>
        </w:drawing>
      </w:r>
      <w:commentRangeEnd w:id="53"/>
      <w:r>
        <w:commentReference w:id="53"/>
      </w:r>
      <w:r>
        <w:rPr/>
      </w:r>
    </w:p>
    <w:p>
      <w:pPr>
        <w:pStyle w:val="Normal1"/>
        <w:spacing w:lineRule="auto" w:line="360"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120" w:after="120"/>
        <w:rPr>
          <w:rFonts w:ascii="Times New Roman" w:hAnsi="Times New Roman" w:eastAsia="Times New Roman" w:cs="Times New Roman"/>
          <w:sz w:val="24"/>
          <w:szCs w:val="24"/>
        </w:rPr>
      </w:pPr>
      <w:r>
        <w:rPr>
          <w:rFonts w:eastAsia="Times New Roman" w:cs="Times New Roman" w:ascii="Times New Roman" w:hAnsi="Times New Roman"/>
          <w:b/>
          <w:sz w:val="24"/>
          <w:szCs w:val="24"/>
        </w:rPr>
        <w:t>TELA DE ENTRADA DO SIGA/SGBM - VERSÃO ORIGINAL - MÓDULO DE CONTROLE PATRIMONIAL</w:t>
      </w:r>
    </w:p>
    <w:p>
      <w:pPr>
        <w:pStyle w:val="Normal1"/>
        <w:spacing w:lineRule="auto" w:line="360" w:before="120" w:after="120"/>
        <w:jc w:val="center"/>
        <w:rPr>
          <w:rFonts w:ascii="Times New Roman" w:hAnsi="Times New Roman" w:eastAsia="Times New Roman" w:cs="Times New Roman"/>
          <w:sz w:val="24"/>
          <w:szCs w:val="24"/>
        </w:rPr>
      </w:pPr>
      <w:commentRangeStart w:id="54"/>
      <w:r>
        <w:rPr/>
        <w:drawing>
          <wp:inline distT="0" distB="0" distL="0" distR="0">
            <wp:extent cx="5731510" cy="1587500"/>
            <wp:effectExtent l="0" t="0" r="0" b="0"/>
            <wp:docPr id="2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png" descr=""/>
                    <pic:cNvPicPr>
                      <a:picLocks noChangeAspect="1" noChangeArrowheads="1"/>
                    </pic:cNvPicPr>
                  </pic:nvPicPr>
                  <pic:blipFill>
                    <a:blip r:embed="rId26"/>
                    <a:stretch>
                      <a:fillRect/>
                    </a:stretch>
                  </pic:blipFill>
                  <pic:spPr bwMode="auto">
                    <a:xfrm>
                      <a:off x="0" y="0"/>
                      <a:ext cx="5731510" cy="1587500"/>
                    </a:xfrm>
                    <a:prstGeom prst="rect">
                      <a:avLst/>
                    </a:prstGeom>
                  </pic:spPr>
                </pic:pic>
              </a:graphicData>
            </a:graphic>
          </wp:inline>
        </w:drawing>
      </w:r>
      <w:commentRangeEnd w:id="54"/>
      <w:r>
        <w:commentReference w:id="54"/>
      </w:r>
      <w:r>
        <w:rPr/>
      </w:r>
    </w:p>
    <w:p>
      <w:pPr>
        <w:pStyle w:val="Normal1"/>
        <w:spacing w:lineRule="auto" w:line="360"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pBdr>
          <w:bottom w:val="single" w:sz="4" w:space="1" w:color="000000"/>
        </w:pBdr>
        <w:spacing w:lineRule="auto" w:line="240"/>
        <w:jc w:val="both"/>
        <w:rPr/>
      </w:pPr>
      <w:r>
        <w:rPr/>
      </w:r>
      <w:bookmarkStart w:id="7" w:name="_2xcytpi"/>
      <w:bookmarkStart w:id="8" w:name="_2xcytpi"/>
      <w:bookmarkEnd w:id="8"/>
    </w:p>
    <w:sectPr>
      <w:headerReference w:type="default" r:id="rId27"/>
      <w:footerReference w:type="default" r:id="rId28"/>
      <w:type w:val="nextPage"/>
      <w:pgSz w:w="11906" w:h="16838"/>
      <w:pgMar w:left="1440" w:right="1440" w:gutter="0" w:header="720" w:top="1440" w:footer="720" w:bottom="144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Deleted user" w:date="2022-03-15T17:11:38Z" w:initials="">
    <w:p>
      <w:r>
        <w:rPr>
          <w:rFonts w:ascii="Liberation Serif" w:hAnsi="Liberation Serif" w:eastAsia="Segoe UI" w:cs="Tahoma"/>
          <w:sz w:val="24"/>
          <w:szCs w:val="24"/>
          <w:lang w:eastAsia="en-US" w:bidi="en-US"/>
        </w:rPr>
        <w:t>Adicionar a saudação:</w:t>
      </w:r>
    </w:p>
    <w:p>
      <w:r>
        <w:rPr>
          <w:rFonts w:ascii="Liberation Serif" w:hAnsi="Liberation Serif" w:eastAsia="Segoe UI" w:cs="Tahoma"/>
          <w:sz w:val="24"/>
          <w:szCs w:val="24"/>
          <w:lang w:eastAsia="en-US" w:bidi="en-US"/>
        </w:rPr>
      </w:r>
    </w:p>
    <w:p>
      <w:r>
        <w:rPr>
          <w:rFonts w:ascii="Liberation Serif" w:hAnsi="Liberation Serif" w:eastAsia="Segoe UI" w:cs="Tahoma"/>
          <w:sz w:val="24"/>
          <w:szCs w:val="24"/>
          <w:lang w:eastAsia="en-US" w:bidi="en-US"/>
        </w:rPr>
        <w:t>Olá!</w:t>
      </w:r>
    </w:p>
    <w:p>
      <w:r>
        <w:rPr>
          <w:rFonts w:ascii="Liberation Serif" w:hAnsi="Liberation Serif" w:eastAsia="Segoe UI" w:cs="Tahoma"/>
          <w:sz w:val="24"/>
          <w:szCs w:val="24"/>
          <w:lang w:eastAsia="en-US" w:bidi="en-US"/>
        </w:rPr>
      </w:r>
    </w:p>
    <w:p>
      <w:r>
        <w:rPr>
          <w:rFonts w:ascii="Liberation Serif" w:hAnsi="Liberation Serif" w:eastAsia="Segoe UI" w:cs="Tahoma"/>
          <w:sz w:val="24"/>
          <w:szCs w:val="24"/>
          <w:lang w:eastAsia="en-US" w:bidi="en-US"/>
        </w:rPr>
        <w:t xml:space="preserve">Seja bem-vindo ao Módulo II do curso Gestão de Suprimentos! </w:t>
      </w:r>
    </w:p>
    <w:p>
      <w:r>
        <w:rPr>
          <w:rFonts w:ascii="Liberation Serif" w:hAnsi="Liberation Serif" w:eastAsia="Segoe UI" w:cs="Tahoma"/>
          <w:sz w:val="24"/>
          <w:szCs w:val="24"/>
          <w:lang w:eastAsia="en-US" w:bidi="en-US"/>
        </w:rPr>
      </w:r>
    </w:p>
    <w:p>
      <w:r>
        <w:rPr>
          <w:rFonts w:ascii="Liberation Serif" w:hAnsi="Liberation Serif" w:eastAsia="Segoe UI" w:cs="Tahoma"/>
          <w:sz w:val="24"/>
          <w:szCs w:val="24"/>
          <w:lang w:eastAsia="en-US" w:bidi="en-US"/>
        </w:rPr>
        <w:t>Bons estudos!</w:t>
      </w:r>
    </w:p>
    <w:p>
      <w:r>
        <w:rPr>
          <w:rFonts w:ascii="Liberation Serif" w:hAnsi="Liberation Serif" w:eastAsia="Segoe UI" w:cs="Tahoma"/>
          <w:sz w:val="24"/>
          <w:szCs w:val="24"/>
          <w:lang w:eastAsia="en-US" w:bidi="en-US"/>
        </w:rPr>
      </w:r>
    </w:p>
    <w:p>
      <w:r>
        <w:rPr>
          <w:rFonts w:ascii="Liberation Serif" w:hAnsi="Liberation Serif" w:eastAsia="Segoe UI" w:cs="Tahoma"/>
          <w:sz w:val="24"/>
          <w:szCs w:val="24"/>
          <w:lang w:eastAsia="en-US" w:bidi="en-US"/>
        </w:rPr>
        <w:t>Apresentar o objetivo do módulo e logo abaixo os tópicos que serão abordados em lista:</w:t>
      </w:r>
    </w:p>
    <w:p>
      <w:r>
        <w:rPr>
          <w:rFonts w:ascii="Liberation Serif" w:hAnsi="Liberation Serif" w:eastAsia="Segoe UI" w:cs="Tahoma"/>
          <w:sz w:val="24"/>
          <w:szCs w:val="24"/>
          <w:lang w:eastAsia="en-US" w:bidi="en-US"/>
        </w:rPr>
        <w:t>1.1) AS CARACTERÍSTICAS E INTEGRAÇÃO DO SISTEMA;</w:t>
      </w:r>
    </w:p>
    <w:p>
      <w:r>
        <w:rPr>
          <w:rFonts w:ascii="Liberation Serif" w:hAnsi="Liberation Serif" w:eastAsia="Segoe UI" w:cs="Tahoma"/>
          <w:sz w:val="24"/>
          <w:szCs w:val="24"/>
          <w:lang w:eastAsia="en-US" w:bidi="en-US"/>
        </w:rPr>
      </w:r>
    </w:p>
    <w:p>
      <w:r>
        <w:rPr>
          <w:rFonts w:ascii="Liberation Serif" w:hAnsi="Liberation Serif" w:eastAsia="Segoe UI" w:cs="Tahoma"/>
          <w:sz w:val="24"/>
          <w:szCs w:val="24"/>
          <w:lang w:eastAsia="en-US" w:bidi="en-US"/>
        </w:rPr>
        <w:t>1.2) AS FASES E ETAPAS DE IMPLANTAÇÃO DO SIGA/SGBM;</w:t>
      </w:r>
    </w:p>
    <w:p>
      <w:r>
        <w:rPr>
          <w:rFonts w:ascii="Liberation Serif" w:hAnsi="Liberation Serif" w:eastAsia="Segoe UI" w:cs="Tahoma"/>
          <w:sz w:val="24"/>
          <w:szCs w:val="24"/>
          <w:lang w:eastAsia="en-US" w:bidi="en-US"/>
        </w:rPr>
      </w:r>
    </w:p>
    <w:p>
      <w:r>
        <w:rPr>
          <w:rFonts w:ascii="Liberation Serif" w:hAnsi="Liberation Serif" w:eastAsia="Segoe UI" w:cs="Tahoma"/>
          <w:sz w:val="24"/>
          <w:szCs w:val="24"/>
          <w:lang w:eastAsia="en-US" w:bidi="en-US"/>
        </w:rPr>
        <w:t>1.3) CADASTRAR ORGANOGRAMA;</w:t>
      </w:r>
    </w:p>
    <w:p>
      <w:r>
        <w:rPr>
          <w:rFonts w:ascii="Liberation Serif" w:hAnsi="Liberation Serif" w:eastAsia="Segoe UI" w:cs="Tahoma"/>
          <w:sz w:val="24"/>
          <w:szCs w:val="24"/>
          <w:lang w:eastAsia="en-US" w:bidi="en-US"/>
        </w:rPr>
      </w:r>
    </w:p>
    <w:p w14:paraId="01000000">
      <w:r>
        <w:rPr>
          <w:rFonts w:ascii="Liberation Serif" w:hAnsi="Liberation Serif" w:eastAsia="Segoe UI" w:cs="Tahoma"/>
          <w:sz w:val="24"/>
          <w:szCs w:val="24"/>
          <w:lang w:eastAsia="en-US" w:bidi="en-US"/>
        </w:rPr>
        <w:t>1.4) SOLICITAR ACESSO AO SISTEMA;</w:t>
      </w:r>
    </w:p>
  </w:comment>
  <w:comment w:id="1" w:author="Deleted user" w:date="2022-03-15T17:14:28Z" w:initials="">
    <w:p w14:paraId="02000000">
      <w:r>
        <w:rPr>
          <w:rFonts w:ascii="Liberation Serif" w:hAnsi="Liberation Serif" w:eastAsia="Segoe UI" w:cs="Tahoma"/>
          <w:sz w:val="24"/>
          <w:szCs w:val="24"/>
          <w:lang w:eastAsia="en-US" w:bidi="en-US"/>
        </w:rPr>
        <w:t>Apresentar parágrafos com movimento da esquerda para a direita.</w:t>
      </w:r>
    </w:p>
  </w:comment>
  <w:comment w:id="2" w:author="Deleted user" w:date="2022-03-15T17:15:12Z" w:initials="">
    <w:p>
      <w:r>
        <w:rPr>
          <w:rFonts w:ascii="Liberation Serif" w:hAnsi="Liberation Serif" w:eastAsia="Segoe UI" w:cs="Tahoma"/>
          <w:sz w:val="24"/>
          <w:szCs w:val="24"/>
          <w:lang w:eastAsia="en-US" w:bidi="en-US"/>
        </w:rPr>
        <w:t>Adicionar botão para apresentar conteúdo do tópico.</w:t>
      </w:r>
    </w:p>
  </w:comment>
  <w:comment w:id="3" w:author="Deleted user" w:date="2022-03-15T17:15:36Z" w:initials="">
    <w:p w14:paraId="03000000">
      <w:r>
        <w:rPr>
          <w:rFonts w:ascii="Liberation Serif" w:hAnsi="Liberation Serif" w:eastAsia="Segoe UI" w:cs="Tahoma"/>
          <w:sz w:val="24"/>
          <w:szCs w:val="24"/>
          <w:lang w:eastAsia="en-US" w:bidi="en-US"/>
        </w:rPr>
        <w:t>Destacar com cor.</w:t>
      </w:r>
    </w:p>
  </w:comment>
  <w:comment w:id="4" w:author="Deleted user" w:date="2022-03-15T17:33:43Z" w:initials="">
    <w:p w14:paraId="04000000">
      <w:r>
        <w:rPr>
          <w:rFonts w:ascii="Liberation Serif" w:hAnsi="Liberation Serif" w:eastAsia="Segoe UI" w:cs="Tahoma"/>
          <w:sz w:val="24"/>
          <w:szCs w:val="24"/>
          <w:lang w:eastAsia="en-US" w:bidi="en-US"/>
        </w:rPr>
        <w:t>Adicionar botões A ao E para explorar os conteúdos à medida que o aluno clique neles.</w:t>
      </w:r>
    </w:p>
  </w:comment>
  <w:comment w:id="5" w:author="Deleted user" w:date="2022-03-15T17:33:43Z" w:initials="">
    <w:p w14:paraId="05000000">
      <w:r>
        <w:rPr>
          <w:rFonts w:ascii="Liberation Serif" w:hAnsi="Liberation Serif" w:eastAsia="Segoe UI" w:cs="Tahoma"/>
          <w:sz w:val="24"/>
          <w:szCs w:val="24"/>
          <w:lang w:eastAsia="en-US" w:bidi="en-US"/>
        </w:rPr>
        <w:t>Adicionar botões A ao E para explorar os conteúdos à medida que o aluno clique neles.</w:t>
      </w:r>
    </w:p>
  </w:comment>
  <w:comment w:id="6" w:author="Deleted user" w:date="2022-03-15T17:33:43Z" w:initials="">
    <w:p w14:paraId="06000000">
      <w:r>
        <w:rPr>
          <w:rFonts w:ascii="Liberation Serif" w:hAnsi="Liberation Serif" w:eastAsia="Segoe UI" w:cs="Tahoma"/>
          <w:sz w:val="24"/>
          <w:szCs w:val="24"/>
          <w:lang w:eastAsia="en-US" w:bidi="en-US"/>
        </w:rPr>
        <w:t>Adicionar botões A ao E para explorar os conteúdos à medida que o aluno clique neles.</w:t>
      </w:r>
    </w:p>
  </w:comment>
  <w:comment w:id="7" w:author="Deleted user" w:date="2022-03-15T17:33:43Z" w:initials="">
    <w:p w14:paraId="07000000">
      <w:r>
        <w:rPr>
          <w:rFonts w:ascii="Liberation Serif" w:hAnsi="Liberation Serif" w:eastAsia="Segoe UI" w:cs="Tahoma"/>
          <w:sz w:val="24"/>
          <w:szCs w:val="24"/>
          <w:lang w:eastAsia="en-US" w:bidi="en-US"/>
        </w:rPr>
        <w:t>Adicionar botões A ao E para explorar os conteúdos à medida que o aluno clique neles.</w:t>
      </w:r>
    </w:p>
  </w:comment>
  <w:comment w:id="8" w:author="Deleted user" w:date="2022-03-15T17:29:40Z" w:initials="">
    <w:p w14:paraId="08000000">
      <w:r>
        <w:rPr>
          <w:rFonts w:ascii="Liberation Serif" w:hAnsi="Liberation Serif" w:eastAsia="Segoe UI" w:cs="Tahoma"/>
          <w:sz w:val="24"/>
          <w:szCs w:val="24"/>
          <w:lang w:eastAsia="en-US" w:bidi="en-US"/>
        </w:rPr>
        <w:t>Adicionar caixa ênfase de Importante.</w:t>
      </w:r>
    </w:p>
  </w:comment>
  <w:comment w:id="9" w:author="Deleted user" w:date="2022-03-15T17:34:05Z" w:initials="">
    <w:p>
      <w:r>
        <w:rPr>
          <w:rFonts w:ascii="Liberation Serif" w:hAnsi="Liberation Serif" w:eastAsia="Segoe UI" w:cs="Tahoma"/>
          <w:sz w:val="24"/>
          <w:szCs w:val="24"/>
          <w:lang w:eastAsia="en-US" w:bidi="en-US"/>
        </w:rPr>
        <w:t>Adicionar botão para apresentar conteúdo do tópico.</w:t>
      </w:r>
    </w:p>
  </w:comment>
  <w:comment w:id="10" w:author="Deleted user" w:date="2022-03-15T18:00:29Z" w:initials="">
    <w:p w14:paraId="09000000">
      <w:r>
        <w:rPr>
          <w:rFonts w:ascii="Liberation Serif" w:hAnsi="Liberation Serif" w:eastAsia="Segoe UI" w:cs="Tahoma"/>
          <w:sz w:val="24"/>
          <w:szCs w:val="24"/>
          <w:lang w:eastAsia="en-US" w:bidi="en-US"/>
        </w:rPr>
        <w:t>Apresentar conteúdo com movimento da esquerda para direita.</w:t>
      </w:r>
    </w:p>
  </w:comment>
  <w:comment w:id="11" w:author="Deleted user" w:date="2022-03-15T18:01:33Z" w:initials="">
    <w:p w14:paraId="0a000000">
      <w:r>
        <w:rPr>
          <w:rFonts w:ascii="Liberation Serif" w:hAnsi="Liberation Serif" w:eastAsia="Segoe UI" w:cs="Tahoma"/>
          <w:sz w:val="24"/>
          <w:szCs w:val="24"/>
          <w:lang w:eastAsia="en-US" w:bidi="en-US"/>
        </w:rPr>
        <w:t>Destacar com cor.</w:t>
      </w:r>
    </w:p>
  </w:comment>
  <w:comment w:id="12" w:author="Deleted user" w:date="2022-03-15T18:22:12Z" w:initials="">
    <w:p>
      <w:r>
        <w:rPr>
          <w:rFonts w:ascii="Liberation Serif" w:hAnsi="Liberation Serif" w:eastAsia="Segoe UI" w:cs="Tahoma"/>
          <w:sz w:val="24"/>
          <w:szCs w:val="24"/>
          <w:lang w:eastAsia="en-US" w:bidi="en-US"/>
        </w:rPr>
        <w:t>inserir botões de abertura em cada célula da tabela correspondentes as fases apresentadas. Dar cor a tabela, de acordo com a padronização.</w:t>
      </w:r>
    </w:p>
  </w:comment>
  <w:comment w:id="13" w:author="Deleted user" w:date="2022-03-15T18:22:33Z" w:initials="">
    <w:p>
      <w:r>
        <w:rPr>
          <w:rFonts w:ascii="Liberation Serif" w:hAnsi="Liberation Serif" w:eastAsia="Segoe UI" w:cs="Tahoma"/>
          <w:sz w:val="24"/>
          <w:szCs w:val="24"/>
          <w:lang w:eastAsia="en-US" w:bidi="en-US"/>
        </w:rPr>
        <w:t>Destacar com cor.</w:t>
      </w:r>
    </w:p>
  </w:comment>
  <w:comment w:id="14" w:author="Deleted user" w:date="2022-03-15T19:04:51Z" w:initials="">
    <w:p>
      <w:r>
        <w:rPr>
          <w:rFonts w:ascii="Liberation Serif" w:hAnsi="Liberation Serif" w:eastAsia="Segoe UI" w:cs="Tahoma"/>
          <w:sz w:val="24"/>
          <w:szCs w:val="24"/>
          <w:lang w:eastAsia="en-US" w:bidi="en-US"/>
        </w:rPr>
        <w:t>Adicionar botões de abertura em cada célula da tabela correspondentes as fases apresentadas. Dar cor a tabela, de acordo com a padronização.</w:t>
      </w:r>
    </w:p>
  </w:comment>
  <w:comment w:id="16" w:author="Deleted user" w:date="2022-03-15T19:04:51Z" w:initials="">
    <w:p>
      <w:r>
        <w:rPr>
          <w:rFonts w:ascii="Liberation Serif" w:hAnsi="Liberation Serif" w:eastAsia="Segoe UI" w:cs="Tahoma"/>
          <w:sz w:val="24"/>
          <w:szCs w:val="24"/>
          <w:lang w:eastAsia="en-US" w:bidi="en-US"/>
        </w:rPr>
        <w:t>Adicionar botões de abertura em cada célula da tabela correspondentes as fases apresentadas. Dar cor a tabela, de acordo com a padronização.</w:t>
      </w:r>
    </w:p>
  </w:comment>
  <w:comment w:id="19" w:author="Deleted user" w:date="2022-03-15T19:04:51Z" w:initials="">
    <w:p>
      <w:r>
        <w:rPr>
          <w:rFonts w:ascii="Liberation Serif" w:hAnsi="Liberation Serif" w:eastAsia="Segoe UI" w:cs="Tahoma"/>
          <w:sz w:val="24"/>
          <w:szCs w:val="24"/>
          <w:lang w:eastAsia="en-US" w:bidi="en-US"/>
        </w:rPr>
        <w:t>Adicionar botões de abertura em cada célula da tabela correspondentes as fases apresentadas. Dar cor a tabela, de acordo com a padronização.</w:t>
      </w:r>
    </w:p>
  </w:comment>
  <w:comment w:id="21" w:author="Deleted user" w:date="2022-03-15T19:05:24Z" w:initials="">
    <w:p>
      <w:r>
        <w:rPr>
          <w:rFonts w:ascii="Liberation Serif" w:hAnsi="Liberation Serif" w:eastAsia="Segoe UI" w:cs="Tahoma"/>
          <w:sz w:val="24"/>
          <w:szCs w:val="24"/>
          <w:lang w:eastAsia="en-US" w:bidi="en-US"/>
        </w:rPr>
        <w:t>Destacar com cor.</w:t>
      </w:r>
    </w:p>
  </w:comment>
  <w:comment w:id="22" w:author="Deleted user" w:date="2022-03-15T19:08:18Z" w:initials="">
    <w:p>
      <w:r>
        <w:rPr>
          <w:rFonts w:ascii="Liberation Serif" w:hAnsi="Liberation Serif" w:eastAsia="Segoe UI" w:cs="Tahoma"/>
          <w:sz w:val="24"/>
          <w:szCs w:val="24"/>
          <w:lang w:eastAsia="en-US" w:bidi="en-US"/>
        </w:rPr>
        <w:t>Adicionar botões de abertura em cada célula da tabela correspondentes as fases apresentadas. Dar cor a tabela, de acordo com a padronização.</w:t>
      </w:r>
    </w:p>
  </w:comment>
  <w:comment w:id="24" w:author="Deleted user" w:date="2022-03-15T19:08:51Z" w:initials="">
    <w:p>
      <w:r>
        <w:rPr>
          <w:rFonts w:ascii="Liberation Serif" w:hAnsi="Liberation Serif" w:eastAsia="Segoe UI" w:cs="Tahoma"/>
          <w:sz w:val="24"/>
          <w:szCs w:val="24"/>
          <w:lang w:eastAsia="en-US" w:bidi="en-US"/>
        </w:rPr>
        <w:t>Adicionar botão para apresentar conteúdo do tópico.</w:t>
      </w:r>
    </w:p>
  </w:comment>
  <w:comment w:id="26" w:author="Deleted user" w:date="2022-03-15T19:10:15Z" w:initials="">
    <w:p w14:paraId="0b000000">
      <w:r>
        <w:rPr>
          <w:rFonts w:ascii="Liberation Serif" w:hAnsi="Liberation Serif" w:eastAsia="Segoe UI" w:cs="Tahoma"/>
          <w:sz w:val="24"/>
          <w:szCs w:val="24"/>
          <w:lang w:eastAsia="en-US" w:bidi="en-US"/>
        </w:rPr>
        <w:t>Destacar com cor.</w:t>
      </w:r>
    </w:p>
  </w:comment>
  <w:comment w:id="27" w:author="Deleted user" w:date="2022-03-15T19:11:01Z" w:initials="">
    <w:p w14:paraId="0c000000">
      <w:r>
        <w:rPr>
          <w:rFonts w:ascii="Liberation Serif" w:hAnsi="Liberation Serif" w:eastAsia="Segoe UI" w:cs="Tahoma"/>
          <w:sz w:val="24"/>
          <w:szCs w:val="24"/>
          <w:lang w:eastAsia="en-US" w:bidi="en-US"/>
        </w:rPr>
        <w:t>Apresentar em movimento de cima para baixo.</w:t>
      </w:r>
    </w:p>
  </w:comment>
  <w:comment w:id="28" w:author="Deleted user" w:date="2022-03-15T19:12:42Z" w:initials="">
    <w:p w14:paraId="0d000000">
      <w:r>
        <w:rPr>
          <w:rFonts w:ascii="Liberation Serif" w:hAnsi="Liberation Serif" w:eastAsia="Segoe UI" w:cs="Tahoma"/>
          <w:sz w:val="24"/>
          <w:szCs w:val="24"/>
          <w:lang w:eastAsia="en-US" w:bidi="en-US"/>
        </w:rPr>
        <w:t>Adicionar caixa ênfase de fique atento.</w:t>
      </w:r>
    </w:p>
  </w:comment>
  <w:comment w:id="29" w:author="Deleted user" w:date="2022-03-15T19:12:54Z" w:initials="">
    <w:p>
      <w:r>
        <w:rPr>
          <w:rFonts w:ascii="Liberation Serif" w:hAnsi="Liberation Serif" w:eastAsia="Segoe UI" w:cs="Tahoma"/>
          <w:sz w:val="24"/>
          <w:szCs w:val="24"/>
          <w:lang w:eastAsia="en-US" w:bidi="en-US"/>
        </w:rPr>
        <w:t>Adicionar botão para apresentar conteúdo do tópico.</w:t>
      </w:r>
    </w:p>
  </w:comment>
  <w:comment w:id="30" w:author="Deleted user" w:date="2022-03-15T19:16:47Z" w:initials="">
    <w:p w14:paraId="0e000000">
      <w:r>
        <w:rPr>
          <w:rFonts w:ascii="Liberation Serif" w:hAnsi="Liberation Serif" w:eastAsia="Segoe UI" w:cs="Tahoma"/>
          <w:sz w:val="24"/>
          <w:szCs w:val="24"/>
          <w:lang w:eastAsia="en-US" w:bidi="en-US"/>
        </w:rPr>
        <w:t>Destacar com cor.</w:t>
      </w:r>
    </w:p>
  </w:comment>
  <w:comment w:id="31" w:author="Deleted user" w:date="2022-03-24T13:28:14Z" w:initials="">
    <w:p w14:paraId="0f000000">
      <w:r>
        <w:rPr>
          <w:rFonts w:ascii="Liberation Serif" w:hAnsi="Liberation Serif" w:eastAsia="Segoe UI" w:cs="Tahoma"/>
          <w:sz w:val="24"/>
          <w:szCs w:val="24"/>
          <w:lang w:eastAsia="en-US" w:bidi="en-US"/>
        </w:rPr>
        <w:t>Apresentar texto em movimento da esquerda para direita.</w:t>
      </w:r>
    </w:p>
  </w:comment>
  <w:comment w:id="32" w:author="Deleted user" w:date="2022-03-24T11:36:23Z" w:initials="">
    <w:p w14:paraId="10000000">
      <w:r>
        <w:rPr>
          <w:rFonts w:ascii="Liberation Serif" w:hAnsi="Liberation Serif" w:eastAsia="Segoe UI" w:cs="Tahoma"/>
          <w:sz w:val="24"/>
          <w:szCs w:val="24"/>
          <w:lang w:eastAsia="en-US" w:bidi="en-US"/>
        </w:rPr>
        <w:t>Criar quadro.</w:t>
      </w:r>
    </w:p>
  </w:comment>
  <w:comment w:id="33" w:author="Deleted user" w:date="2022-03-24T13:29:44Z" w:initials="">
    <w:p w14:paraId="11000000">
      <w:r>
        <w:rPr>
          <w:rFonts w:ascii="Liberation Serif" w:hAnsi="Liberation Serif" w:eastAsia="Segoe UI" w:cs="Tahoma"/>
          <w:sz w:val="24"/>
          <w:szCs w:val="24"/>
          <w:lang w:eastAsia="en-US" w:bidi="en-US"/>
        </w:rPr>
        <w:t>Apresentar texto em movimento da esquerda para direita.</w:t>
      </w:r>
    </w:p>
  </w:comment>
  <w:comment w:id="34" w:author="Deleted user" w:date="2022-03-15T19:27:25Z" w:initials="">
    <w:p w14:paraId="12000000">
      <w:r>
        <w:rPr>
          <w:rFonts w:ascii="Liberation Serif" w:hAnsi="Liberation Serif" w:eastAsia="Segoe UI" w:cs="Tahoma"/>
          <w:sz w:val="24"/>
          <w:szCs w:val="24"/>
          <w:lang w:eastAsia="en-US" w:bidi="en-US"/>
        </w:rPr>
        <w:t>Destacar em caixa ênfase.</w:t>
      </w:r>
    </w:p>
  </w:comment>
  <w:comment w:id="35" w:author="Deleted user" w:date="2022-03-24T13:26:06Z" w:initials="">
    <w:p w14:paraId="13000000">
      <w:r>
        <w:rPr>
          <w:rFonts w:ascii="Liberation Serif" w:hAnsi="Liberation Serif" w:eastAsia="Segoe UI" w:cs="Tahoma"/>
          <w:sz w:val="24"/>
          <w:szCs w:val="24"/>
          <w:lang w:eastAsia="en-US" w:bidi="en-US"/>
        </w:rPr>
        <w:t>Criar quadro.</w:t>
      </w:r>
    </w:p>
  </w:comment>
  <w:comment w:id="36" w:author="Deleted user" w:date="2022-03-24T14:49:02Z" w:initials="">
    <w:p w14:paraId="14000000">
      <w:r>
        <w:rPr>
          <w:rFonts w:ascii="Liberation Serif" w:hAnsi="Liberation Serif" w:eastAsia="Segoe UI" w:cs="Tahoma"/>
          <w:sz w:val="24"/>
          <w:szCs w:val="24"/>
          <w:lang w:eastAsia="en-US" w:bidi="en-US"/>
        </w:rPr>
        <w:t>Apresentar texto em movimento da esquerda para direita.</w:t>
      </w:r>
    </w:p>
  </w:comment>
  <w:comment w:id="37" w:author="Deleted user" w:date="2022-03-24T14:49:11Z" w:initials="">
    <w:p w14:paraId="15000000">
      <w:r>
        <w:rPr>
          <w:rFonts w:ascii="Liberation Serif" w:hAnsi="Liberation Serif" w:eastAsia="Segoe UI" w:cs="Tahoma"/>
          <w:sz w:val="24"/>
          <w:szCs w:val="24"/>
          <w:lang w:eastAsia="en-US" w:bidi="en-US"/>
        </w:rPr>
        <w:t>Apresentar texto em movimento da esquerda para direita.</w:t>
      </w:r>
    </w:p>
  </w:comment>
  <w:comment w:id="38" w:author="Deleted user" w:date="2022-03-24T14:50:03Z" w:initials="">
    <w:p w14:paraId="16000000">
      <w:r>
        <w:rPr>
          <w:rFonts w:ascii="Liberation Serif" w:hAnsi="Liberation Serif" w:eastAsia="Segoe UI" w:cs="Tahoma"/>
          <w:sz w:val="24"/>
          <w:szCs w:val="24"/>
          <w:lang w:eastAsia="en-US" w:bidi="en-US"/>
        </w:rPr>
        <w:t>Criar quadro.</w:t>
      </w:r>
    </w:p>
  </w:comment>
  <w:comment w:id="39" w:author="Deleted user" w:date="2022-03-24T14:57:32Z" w:initials="">
    <w:p w14:paraId="17000000">
      <w:r>
        <w:rPr>
          <w:rFonts w:ascii="Liberation Serif" w:hAnsi="Liberation Serif" w:eastAsia="Segoe UI" w:cs="Tahoma"/>
          <w:sz w:val="24"/>
          <w:szCs w:val="24"/>
          <w:lang w:eastAsia="en-US" w:bidi="en-US"/>
        </w:rPr>
        <w:t>Apresentar texto em movimento da esquerda para direita.</w:t>
      </w:r>
    </w:p>
  </w:comment>
  <w:comment w:id="40" w:author="Deleted user" w:date="2022-03-24T16:12:48Z" w:initials="">
    <w:p w14:paraId="18000000">
      <w:r>
        <w:rPr>
          <w:rFonts w:ascii="Liberation Serif" w:hAnsi="Liberation Serif" w:eastAsia="Segoe UI" w:cs="Tahoma"/>
          <w:sz w:val="24"/>
          <w:szCs w:val="24"/>
          <w:lang w:eastAsia="en-US" w:bidi="en-US"/>
        </w:rPr>
        <w:t>Criar quadro.</w:t>
      </w:r>
    </w:p>
  </w:comment>
  <w:comment w:id="41" w:author="Deleted user" w:date="2022-03-24T16:13:13Z" w:initials="">
    <w:p w14:paraId="19000000">
      <w:r>
        <w:rPr>
          <w:rFonts w:ascii="Liberation Serif" w:hAnsi="Liberation Serif" w:eastAsia="Segoe UI" w:cs="Tahoma"/>
          <w:sz w:val="24"/>
          <w:szCs w:val="24"/>
          <w:lang w:eastAsia="en-US" w:bidi="en-US"/>
        </w:rPr>
        <w:t>Apresentar texto em movimento da esquerda para direita.</w:t>
      </w:r>
    </w:p>
  </w:comment>
  <w:comment w:id="42" w:author="Deleted user" w:date="2022-03-24T16:13:23Z" w:initials="">
    <w:p w14:paraId="1a000000">
      <w:r>
        <w:rPr>
          <w:rFonts w:ascii="Liberation Serif" w:hAnsi="Liberation Serif" w:eastAsia="Segoe UI" w:cs="Tahoma"/>
          <w:sz w:val="24"/>
          <w:szCs w:val="24"/>
          <w:lang w:eastAsia="en-US" w:bidi="en-US"/>
        </w:rPr>
        <w:t>Criar quadro.</w:t>
      </w:r>
    </w:p>
  </w:comment>
  <w:comment w:id="43" w:author="Deleted user" w:date="2022-03-24T16:14:39Z" w:initials="">
    <w:p w14:paraId="1b000000">
      <w:r>
        <w:rPr>
          <w:rFonts w:ascii="Liberation Serif" w:hAnsi="Liberation Serif" w:eastAsia="Segoe UI" w:cs="Tahoma"/>
          <w:sz w:val="24"/>
          <w:szCs w:val="24"/>
          <w:lang w:eastAsia="en-US" w:bidi="en-US"/>
        </w:rPr>
        <w:t>Adicionar caixa ênfase de saiba mais.</w:t>
      </w:r>
    </w:p>
  </w:comment>
  <w:comment w:id="44" w:author="Deleted user" w:date="2022-03-24T16:14:51Z" w:initials="">
    <w:p w14:paraId="1c000000">
      <w:r>
        <w:rPr>
          <w:rFonts w:ascii="Liberation Serif" w:hAnsi="Liberation Serif" w:eastAsia="Segoe UI" w:cs="Tahoma"/>
          <w:sz w:val="24"/>
          <w:szCs w:val="24"/>
          <w:lang w:eastAsia="en-US" w:bidi="en-US"/>
        </w:rPr>
        <w:t>Destacar com cor.</w:t>
      </w:r>
    </w:p>
  </w:comment>
  <w:comment w:id="45" w:author="Deleted user" w:date="2022-03-24T16:16:21Z" w:initials="">
    <w:p w14:paraId="1d000000">
      <w:r>
        <w:rPr>
          <w:rFonts w:ascii="Liberation Serif" w:hAnsi="Liberation Serif" w:eastAsia="Segoe UI" w:cs="Tahoma"/>
          <w:sz w:val="24"/>
          <w:szCs w:val="24"/>
          <w:lang w:eastAsia="en-US" w:bidi="en-US"/>
        </w:rPr>
        <w:t>Apresentar em movimento de cima para baixo. padronizar marcadores.</w:t>
      </w:r>
    </w:p>
  </w:comment>
  <w:comment w:id="46" w:author="Deleted user" w:date="2022-03-24T16:19:48Z" w:initials="">
    <w:p>
      <w:r>
        <w:rPr>
          <w:rFonts w:ascii="Liberation Serif" w:hAnsi="Liberation Serif" w:eastAsia="Segoe UI" w:cs="Tahoma"/>
          <w:sz w:val="24"/>
          <w:szCs w:val="24"/>
          <w:lang w:eastAsia="en-US" w:bidi="en-US"/>
        </w:rPr>
        <w:t>Adicionar caixa cinza.</w:t>
      </w:r>
    </w:p>
  </w:comment>
  <w:comment w:id="47" w:author="Deleted user" w:date="2022-03-24T16:21:18Z" w:initials="">
    <w:p>
      <w:r>
        <w:rPr>
          <w:rFonts w:ascii="Liberation Serif" w:hAnsi="Liberation Serif" w:eastAsia="Segoe UI" w:cs="Tahoma"/>
          <w:sz w:val="24"/>
          <w:szCs w:val="24"/>
          <w:lang w:eastAsia="en-US" w:bidi="en-US"/>
        </w:rPr>
        <w:t>Melhorar legibilidade da imagem.</w:t>
      </w:r>
    </w:p>
  </w:comment>
  <w:comment w:id="48" w:author="Deleted user" w:date="2022-03-24T16:21:03Z" w:initials="">
    <w:p>
      <w:r>
        <w:rPr>
          <w:rFonts w:ascii="Liberation Serif" w:hAnsi="Liberation Serif" w:eastAsia="Segoe UI" w:cs="Tahoma"/>
          <w:sz w:val="24"/>
          <w:szCs w:val="24"/>
          <w:lang w:eastAsia="en-US" w:bidi="en-US"/>
        </w:rPr>
        <w:t>Melhorar legibilidade da imagem.</w:t>
      </w:r>
    </w:p>
  </w:comment>
  <w:comment w:id="49" w:author="Deleted user" w:date="2022-03-24T16:21:22Z" w:initials="">
    <w:p>
      <w:r>
        <w:rPr>
          <w:rFonts w:ascii="Liberation Serif" w:hAnsi="Liberation Serif" w:eastAsia="Segoe UI" w:cs="Tahoma"/>
          <w:sz w:val="24"/>
          <w:szCs w:val="24"/>
          <w:lang w:eastAsia="en-US" w:bidi="en-US"/>
        </w:rPr>
        <w:t>Melhorar legibilidade da imagem.</w:t>
      </w:r>
    </w:p>
  </w:comment>
  <w:comment w:id="50" w:author="Deleted user" w:date="2022-03-24T16:21:30Z" w:initials="">
    <w:p>
      <w:r>
        <w:rPr>
          <w:rFonts w:ascii="Liberation Serif" w:hAnsi="Liberation Serif" w:eastAsia="Segoe UI" w:cs="Tahoma"/>
          <w:sz w:val="24"/>
          <w:szCs w:val="24"/>
          <w:lang w:eastAsia="en-US" w:bidi="en-US"/>
        </w:rPr>
        <w:t>Melhorar legibilidade da imagem.</w:t>
      </w:r>
    </w:p>
  </w:comment>
  <w:comment w:id="51" w:author="Deleted user" w:date="2022-03-24T16:22:59Z" w:initials="">
    <w:p>
      <w:r>
        <w:rPr>
          <w:rFonts w:ascii="Liberation Serif" w:hAnsi="Liberation Serif" w:eastAsia="Segoe UI" w:cs="Tahoma"/>
          <w:sz w:val="24"/>
          <w:szCs w:val="24"/>
          <w:lang w:eastAsia="en-US" w:bidi="en-US"/>
        </w:rPr>
        <w:t>Adicionar caixa ênfase.</w:t>
      </w:r>
    </w:p>
  </w:comment>
  <w:comment w:id="52" w:author="Deleted user" w:date="2022-03-24T16:24:07Z" w:initials="">
    <w:p>
      <w:r>
        <w:rPr>
          <w:rFonts w:ascii="Liberation Serif" w:hAnsi="Liberation Serif" w:eastAsia="Segoe UI" w:cs="Tahoma"/>
          <w:sz w:val="24"/>
          <w:szCs w:val="24"/>
          <w:lang w:eastAsia="en-US" w:bidi="en-US"/>
        </w:rPr>
        <w:t>Destacar.</w:t>
      </w:r>
    </w:p>
  </w:comment>
  <w:comment w:id="53" w:author="Deleted user" w:date="2022-03-24T16:24:14Z" w:initials="">
    <w:p>
      <w:r>
        <w:rPr>
          <w:rFonts w:ascii="Liberation Serif" w:hAnsi="Liberation Serif" w:eastAsia="Segoe UI" w:cs="Tahoma"/>
          <w:sz w:val="24"/>
          <w:szCs w:val="24"/>
          <w:lang w:eastAsia="en-US" w:bidi="en-US"/>
        </w:rPr>
        <w:t>Melhorar legibilidade da imagem.</w:t>
      </w:r>
    </w:p>
  </w:comment>
  <w:comment w:id="54" w:author="Deleted user" w:date="2022-03-24T16:24:17Z" w:initials="">
    <w:p>
      <w:r>
        <w:rPr>
          <w:rFonts w:ascii="Liberation Serif" w:hAnsi="Liberation Serif" w:eastAsia="Segoe UI" w:cs="Tahoma"/>
          <w:sz w:val="24"/>
          <w:szCs w:val="24"/>
          <w:lang w:eastAsia="en-US" w:bidi="en-US"/>
        </w:rPr>
        <w:t>Melhorar legibilidade da imagem.</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Ex w15:paraId="02000000" w15:done="1"/>
  <w15:commentEx w15:paraId="03000000" w15:done="1"/>
  <w15:commentEx w15:paraId="04000000" w15:done="1"/>
  <w15:commentEx w15:paraId="05000000" w15:done="1"/>
  <w15:commentEx w15:paraId="06000000" w15:done="1"/>
  <w15:commentEx w15:paraId="07000000" w15:done="1"/>
  <w15:commentEx w15:paraId="08000000" w15:done="1"/>
  <w15:commentEx w15:paraId="09000000" w15:done="1"/>
  <w15:commentEx w15:paraId="0a000000" w15:done="1"/>
  <w15:commentEx w15:paraId="0b000000" w15:done="1"/>
  <w15:commentEx w15:paraId="0c000000" w15:done="1"/>
  <w15:commentEx w15:paraId="0d000000" w15:done="1"/>
  <w15:commentEx w15:paraId="0e000000" w15:done="1"/>
  <w15:commentEx w15:paraId="0f000000" w15:done="1"/>
  <w15:commentEx w15:paraId="10000000" w15:done="1"/>
  <w15:commentEx w15:paraId="11000000" w15:done="1"/>
  <w15:commentEx w15:paraId="12000000" w15:done="1"/>
  <w15:commentEx w15:paraId="13000000" w15:done="1"/>
  <w15:commentEx w15:paraId="14000000" w15:done="1"/>
  <w15:commentEx w15:paraId="15000000" w15:done="1"/>
  <w15:commentEx w15:paraId="16000000" w15:done="1"/>
  <w15:commentEx w15:paraId="17000000" w15:done="1"/>
  <w15:commentEx w15:paraId="18000000" w15:done="1"/>
  <w15:commentEx w15:paraId="19000000" w15:done="1"/>
  <w15:commentEx w15:paraId="1a000000" w15:done="1"/>
  <w15:commentEx w15:paraId="1b000000" w15:done="1"/>
  <w15:commentEx w15:paraId="1c000000" w15:done="1"/>
  <w15:commentEx w15:paraId="1d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Noto Sans Symbols">
    <w:charset w:val="01"/>
    <w:family w:val="swiss"/>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2">
    <w:lvl w:ilvl="0">
      <w:start w:val="27"/>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3">
    <w:lvl w:ilvl="0">
      <w:start w:val="23"/>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4">
    <w:lvl w:ilvl="0">
      <w:start w:val="1"/>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5">
    <w:lvl w:ilvl="0">
      <w:start w:val="1"/>
      <w:numFmt w:val="bullet"/>
      <w:lvlText w:val="⮚"/>
      <w:lvlJc w:val="left"/>
      <w:pPr>
        <w:tabs>
          <w:tab w:val="num" w:pos="0"/>
        </w:tabs>
        <w:ind w:left="1003" w:hanging="360"/>
      </w:pPr>
      <w:rPr>
        <w:rFonts w:ascii="Noto Sans Symbols" w:hAnsi="Noto Sans Symbols" w:cs="Noto Sans Symbols" w:hint="default"/>
        <w:vertAlign w:val="baseline"/>
        <w:position w:val="0"/>
        <w:sz w:val="22"/>
      </w:rPr>
    </w:lvl>
    <w:lvl w:ilvl="1">
      <w:start w:val="1"/>
      <w:numFmt w:val="bullet"/>
      <w:lvlText w:val="o"/>
      <w:lvlJc w:val="left"/>
      <w:pPr>
        <w:tabs>
          <w:tab w:val="num" w:pos="0"/>
        </w:tabs>
        <w:ind w:left="1440" w:hanging="360"/>
      </w:pPr>
      <w:rPr>
        <w:rFonts w:ascii="Courier New" w:hAnsi="Courier New" w:cs="Courier New" w:hint="default"/>
        <w:vertAlign w:val="baseline"/>
        <w:position w:val="0"/>
        <w:sz w:val="22"/>
      </w:rPr>
    </w:lvl>
    <w:lvl w:ilvl="2">
      <w:start w:val="1"/>
      <w:numFmt w:val="bullet"/>
      <w:lvlText w:val="▪"/>
      <w:lvlJc w:val="left"/>
      <w:pPr>
        <w:tabs>
          <w:tab w:val="num" w:pos="0"/>
        </w:tabs>
        <w:ind w:left="2160" w:hanging="360"/>
      </w:pPr>
      <w:rPr>
        <w:rFonts w:ascii="Noto Sans Symbols" w:hAnsi="Noto Sans Symbols" w:cs="Noto Sans Symbols" w:hint="default"/>
        <w:vertAlign w:val="baseline"/>
        <w:position w:val="0"/>
        <w:sz w:val="22"/>
      </w:rPr>
    </w:lvl>
    <w:lvl w:ilvl="3">
      <w:start w:val="1"/>
      <w:numFmt w:val="bullet"/>
      <w:lvlText w:val="●"/>
      <w:lvlJc w:val="left"/>
      <w:pPr>
        <w:tabs>
          <w:tab w:val="num" w:pos="0"/>
        </w:tabs>
        <w:ind w:left="2880" w:hanging="360"/>
      </w:pPr>
      <w:rPr>
        <w:rFonts w:ascii="Noto Sans Symbols" w:hAnsi="Noto Sans Symbols" w:cs="Noto Sans Symbols" w:hint="default"/>
        <w:vertAlign w:val="baseline"/>
        <w:position w:val="0"/>
        <w:sz w:val="22"/>
      </w:rPr>
    </w:lvl>
    <w:lvl w:ilvl="4">
      <w:start w:val="1"/>
      <w:numFmt w:val="bullet"/>
      <w:lvlText w:val="o"/>
      <w:lvlJc w:val="left"/>
      <w:pPr>
        <w:tabs>
          <w:tab w:val="num" w:pos="0"/>
        </w:tabs>
        <w:ind w:left="3600" w:hanging="360"/>
      </w:pPr>
      <w:rPr>
        <w:rFonts w:ascii="Courier New" w:hAnsi="Courier New" w:cs="Courier New" w:hint="default"/>
        <w:vertAlign w:val="baseline"/>
        <w:position w:val="0"/>
        <w:sz w:val="22"/>
      </w:rPr>
    </w:lvl>
    <w:lvl w:ilvl="5">
      <w:start w:val="1"/>
      <w:numFmt w:val="bullet"/>
      <w:lvlText w:val="▪"/>
      <w:lvlJc w:val="left"/>
      <w:pPr>
        <w:tabs>
          <w:tab w:val="num" w:pos="0"/>
        </w:tabs>
        <w:ind w:left="4320" w:hanging="360"/>
      </w:pPr>
      <w:rPr>
        <w:rFonts w:ascii="Noto Sans Symbols" w:hAnsi="Noto Sans Symbols" w:cs="Noto Sans Symbols" w:hint="default"/>
        <w:vertAlign w:val="baseline"/>
        <w:position w:val="0"/>
        <w:sz w:val="22"/>
      </w:rPr>
    </w:lvl>
    <w:lvl w:ilvl="6">
      <w:start w:val="1"/>
      <w:numFmt w:val="bullet"/>
      <w:lvlText w:val="●"/>
      <w:lvlJc w:val="left"/>
      <w:pPr>
        <w:tabs>
          <w:tab w:val="num" w:pos="0"/>
        </w:tabs>
        <w:ind w:left="5040" w:hanging="360"/>
      </w:pPr>
      <w:rPr>
        <w:rFonts w:ascii="Noto Sans Symbols" w:hAnsi="Noto Sans Symbols" w:cs="Noto Sans Symbols" w:hint="default"/>
        <w:vertAlign w:val="baseline"/>
        <w:position w:val="0"/>
        <w:sz w:val="22"/>
      </w:rPr>
    </w:lvl>
    <w:lvl w:ilvl="7">
      <w:start w:val="1"/>
      <w:numFmt w:val="bullet"/>
      <w:lvlText w:val="o"/>
      <w:lvlJc w:val="left"/>
      <w:pPr>
        <w:tabs>
          <w:tab w:val="num" w:pos="0"/>
        </w:tabs>
        <w:ind w:left="5760" w:hanging="360"/>
      </w:pPr>
      <w:rPr>
        <w:rFonts w:ascii="Courier New" w:hAnsi="Courier New" w:cs="Courier New" w:hint="default"/>
        <w:vertAlign w:val="baseline"/>
        <w:position w:val="0"/>
        <w:sz w:val="22"/>
      </w:rPr>
    </w:lvl>
    <w:lvl w:ilvl="8">
      <w:start w:val="1"/>
      <w:numFmt w:val="bullet"/>
      <w:lvlText w:val="▪"/>
      <w:lvlJc w:val="left"/>
      <w:pPr>
        <w:tabs>
          <w:tab w:val="num" w:pos="0"/>
        </w:tabs>
        <w:ind w:left="6480" w:hanging="360"/>
      </w:pPr>
      <w:rPr>
        <w:rFonts w:ascii="Noto Sans Symbols" w:hAnsi="Noto Sans Symbols" w:cs="Noto Sans Symbols" w:hint="default"/>
        <w:vertAlign w:val="baseline"/>
        <w:position w:val="0"/>
        <w:sz w:val="22"/>
      </w:rPr>
    </w:lvl>
  </w:abstractNum>
  <w:abstractNum w:abstractNumId="6">
    <w:lvl w:ilvl="0">
      <w:start w:val="1"/>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7">
    <w:lvl w:ilvl="0">
      <w:start w:val="21"/>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8">
    <w:lvl w:ilvl="0">
      <w:start w:val="1"/>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9">
    <w:lvl w:ilvl="0">
      <w:start w:val="40"/>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10">
    <w:lvl w:ilvl="0">
      <w:start w:val="9"/>
      <w:numFmt w:val="decimal"/>
      <w:lvlText w:val="%1."/>
      <w:lvlJc w:val="left"/>
      <w:pPr>
        <w:tabs>
          <w:tab w:val="num" w:pos="0"/>
        </w:tabs>
        <w:ind w:left="720" w:hanging="360"/>
      </w:pPr>
      <w:rPr>
        <w:vertAlign w:val="baseline"/>
        <w:position w:val="0"/>
        <w:sz w:val="22"/>
      </w:rPr>
    </w:lvl>
    <w:lvl w:ilvl="1">
      <w:start w:val="1"/>
      <w:numFmt w:val="lowerLetter"/>
      <w:lvlText w:val="%2)"/>
      <w:lvlJc w:val="left"/>
      <w:pPr>
        <w:tabs>
          <w:tab w:val="num" w:pos="0"/>
        </w:tabs>
        <w:ind w:left="1485" w:hanging="405"/>
      </w:pPr>
      <w:rPr>
        <w:vertAlign w:val="baseline"/>
        <w:position w:val="0"/>
        <w:sz w:val="22"/>
        <w:b/>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11">
    <w:lvl w:ilvl="0">
      <w:start w:val="1"/>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12">
    <w:lvl w:ilvl="0">
      <w:start w:val="10"/>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13">
    <w:lvl w:ilvl="0">
      <w:start w:val="1"/>
      <w:numFmt w:val="decimal"/>
      <w:lvlText w:val="%1."/>
      <w:lvlJc w:val="left"/>
      <w:pPr>
        <w:tabs>
          <w:tab w:val="num" w:pos="0"/>
        </w:tabs>
        <w:ind w:left="720" w:hanging="360"/>
      </w:pPr>
      <w:rPr>
        <w:vertAlign w:val="baseline"/>
        <w:position w:val="0"/>
        <w:sz w:val="22"/>
      </w:rPr>
    </w:lvl>
    <w:lvl w:ilvl="1">
      <w:start w:val="1"/>
      <w:numFmt w:val="lowerLetter"/>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14">
    <w:lvl w:ilvl="0">
      <w:start w:val="12"/>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15">
    <w:lvl w:ilvl="0">
      <w:start w:val="17"/>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16">
    <w:lvl w:ilvl="0">
      <w:start w:val="1"/>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17">
    <w:lvl w:ilvl="0">
      <w:start w:val="14"/>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18">
    <w:lvl w:ilvl="0">
      <w:start w:val="1"/>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19">
    <w:lvl w:ilvl="0">
      <w:start w:val="19"/>
      <w:numFmt w:val="decimal"/>
      <w:lvlText w:val="%1."/>
      <w:lvlJc w:val="left"/>
      <w:pPr>
        <w:tabs>
          <w:tab w:val="num" w:pos="0"/>
        </w:tabs>
        <w:ind w:left="720" w:hanging="360"/>
      </w:pPr>
      <w:rPr>
        <w:vertAlign w:val="baseline"/>
        <w:position w:val="0"/>
        <w:sz w:val="22"/>
      </w:rPr>
    </w:lvl>
    <w:lvl w:ilvl="1">
      <w:start w:val="1"/>
      <w:numFmt w:val="decimal"/>
      <w:lvlText w:val="%2."/>
      <w:lvlJc w:val="left"/>
      <w:pPr>
        <w:tabs>
          <w:tab w:val="num" w:pos="0"/>
        </w:tabs>
        <w:ind w:left="1440" w:hanging="360"/>
      </w:pPr>
      <w:rPr>
        <w:vertAlign w:val="baseline"/>
        <w:position w:val="0"/>
        <w:sz w:val="22"/>
      </w:rPr>
    </w:lvl>
    <w:lvl w:ilvl="2">
      <w:start w:val="1"/>
      <w:numFmt w:val="decimal"/>
      <w:lvlText w:val="%3."/>
      <w:lvlJc w:val="left"/>
      <w:pPr>
        <w:tabs>
          <w:tab w:val="num" w:pos="0"/>
        </w:tabs>
        <w:ind w:left="2160" w:hanging="360"/>
      </w:pPr>
      <w:rPr>
        <w:vertAlign w:val="baseline"/>
        <w:position w:val="0"/>
        <w:sz w:val="22"/>
      </w:rPr>
    </w:lvl>
    <w:lvl w:ilvl="3">
      <w:start w:val="1"/>
      <w:numFmt w:val="decimal"/>
      <w:lvlText w:val="%4."/>
      <w:lvlJc w:val="left"/>
      <w:pPr>
        <w:tabs>
          <w:tab w:val="num" w:pos="0"/>
        </w:tabs>
        <w:ind w:left="2880" w:hanging="360"/>
      </w:pPr>
      <w:rPr>
        <w:vertAlign w:val="baseline"/>
        <w:position w:val="0"/>
        <w:sz w:val="22"/>
      </w:rPr>
    </w:lvl>
    <w:lvl w:ilvl="4">
      <w:start w:val="1"/>
      <w:numFmt w:val="decimal"/>
      <w:lvlText w:val="%5."/>
      <w:lvlJc w:val="left"/>
      <w:pPr>
        <w:tabs>
          <w:tab w:val="num" w:pos="0"/>
        </w:tabs>
        <w:ind w:left="3600" w:hanging="360"/>
      </w:pPr>
      <w:rPr>
        <w:vertAlign w:val="baseline"/>
        <w:position w:val="0"/>
        <w:sz w:val="22"/>
      </w:rPr>
    </w:lvl>
    <w:lvl w:ilvl="5">
      <w:start w:val="1"/>
      <w:numFmt w:val="decimal"/>
      <w:lvlText w:val="%6."/>
      <w:lvlJc w:val="left"/>
      <w:pPr>
        <w:tabs>
          <w:tab w:val="num" w:pos="0"/>
        </w:tabs>
        <w:ind w:left="4320" w:hanging="360"/>
      </w:pPr>
      <w:rPr>
        <w:vertAlign w:val="baseline"/>
        <w:position w:val="0"/>
        <w:sz w:val="22"/>
      </w:rPr>
    </w:lvl>
    <w:lvl w:ilvl="6">
      <w:start w:val="1"/>
      <w:numFmt w:val="decimal"/>
      <w:lvlText w:val="%7."/>
      <w:lvlJc w:val="left"/>
      <w:pPr>
        <w:tabs>
          <w:tab w:val="num" w:pos="0"/>
        </w:tabs>
        <w:ind w:left="5040" w:hanging="360"/>
      </w:pPr>
      <w:rPr>
        <w:vertAlign w:val="baseline"/>
        <w:position w:val="0"/>
        <w:sz w:val="22"/>
      </w:rPr>
    </w:lvl>
    <w:lvl w:ilvl="7">
      <w:start w:val="1"/>
      <w:numFmt w:val="decimal"/>
      <w:lvlText w:val="%8."/>
      <w:lvlJc w:val="left"/>
      <w:pPr>
        <w:tabs>
          <w:tab w:val="num" w:pos="0"/>
        </w:tabs>
        <w:ind w:left="5760" w:hanging="360"/>
      </w:pPr>
      <w:rPr>
        <w:vertAlign w:val="baseline"/>
        <w:position w:val="0"/>
        <w:sz w:val="22"/>
      </w:rPr>
    </w:lvl>
    <w:lvl w:ilvl="8">
      <w:start w:val="1"/>
      <w:numFmt w:val="decimal"/>
      <w:lvlText w:val="%9."/>
      <w:lvlJc w:val="left"/>
      <w:pPr>
        <w:tabs>
          <w:tab w:val="num" w:pos="0"/>
        </w:tabs>
        <w:ind w:left="6480" w:hanging="360"/>
      </w:pPr>
      <w:rPr>
        <w:vertAlign w:val="baseline"/>
        <w:position w:val="0"/>
        <w:sz w:val="22"/>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tulo1">
    <w:name w:val="Heading 1"/>
    <w:basedOn w:val="Normal1"/>
    <w:next w:val="Normal1"/>
    <w:qFormat/>
    <w:pPr>
      <w:keepNext w:val="true"/>
      <w:keepLines/>
      <w:pageBreakBefore w:val="false"/>
      <w:spacing w:lineRule="auto" w:line="240" w:before="400" w:after="120"/>
    </w:pPr>
    <w:rPr>
      <w:sz w:val="40"/>
      <w:szCs w:val="40"/>
    </w:rPr>
  </w:style>
  <w:style w:type="paragraph" w:styleId="Ttulo2">
    <w:name w:val="Heading 2"/>
    <w:basedOn w:val="Normal1"/>
    <w:next w:val="Normal1"/>
    <w:qFormat/>
    <w:pPr>
      <w:keepNext w:val="true"/>
      <w:keepLines/>
      <w:pageBreakBefore w:val="false"/>
      <w:spacing w:lineRule="auto" w:line="240" w:before="360" w:after="120"/>
    </w:pPr>
    <w:rPr>
      <w:b w:val="false"/>
      <w:sz w:val="32"/>
      <w:szCs w:val="32"/>
    </w:rPr>
  </w:style>
  <w:style w:type="paragraph" w:styleId="Ttulo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Ttulo4">
    <w:name w:val="Heading 4"/>
    <w:basedOn w:val="Normal1"/>
    <w:next w:val="Normal1"/>
    <w:qFormat/>
    <w:pPr>
      <w:keepNext w:val="true"/>
      <w:keepLines/>
      <w:pageBreakBefore w:val="false"/>
      <w:spacing w:lineRule="auto" w:line="240" w:before="280" w:after="80"/>
    </w:pPr>
    <w:rPr>
      <w:color w:val="666666"/>
      <w:sz w:val="24"/>
      <w:szCs w:val="24"/>
    </w:rPr>
  </w:style>
  <w:style w:type="paragraph" w:styleId="Ttulo5">
    <w:name w:val="Heading 5"/>
    <w:basedOn w:val="Normal1"/>
    <w:next w:val="Normal1"/>
    <w:qFormat/>
    <w:pPr>
      <w:keepNext w:val="true"/>
      <w:keepLines/>
      <w:pageBreakBefore w:val="false"/>
      <w:spacing w:lineRule="auto" w:line="240" w:before="240" w:after="80"/>
    </w:pPr>
    <w:rPr>
      <w:color w:val="666666"/>
      <w:sz w:val="22"/>
      <w:szCs w:val="22"/>
    </w:rPr>
  </w:style>
  <w:style w:type="paragraph" w:styleId="Ttulo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tulododocumento">
    <w:name w:val="Title"/>
    <w:basedOn w:val="Normal1"/>
    <w:next w:val="Normal1"/>
    <w:qFormat/>
    <w:pPr>
      <w:keepNext w:val="true"/>
      <w:keepLines/>
      <w:pageBreakBefore w:val="false"/>
      <w:spacing w:lineRule="auto" w:line="240" w:before="0" w:after="60"/>
    </w:pPr>
    <w:rPr>
      <w:sz w:val="52"/>
      <w:szCs w:val="52"/>
    </w:rPr>
  </w:style>
  <w:style w:type="paragraph" w:styleId="Subttulo">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CabealhoeRodap">
    <w:name w:val="Cabeçalho e Rodapé"/>
    <w:basedOn w:val="Normal"/>
    <w:qFormat/>
    <w:pPr/>
    <w:rPr/>
  </w:style>
  <w:style w:type="paragraph" w:styleId="Cabealho">
    <w:name w:val="Header"/>
    <w:basedOn w:val="CabealhoeRodap"/>
    <w:pPr/>
    <w:rPr/>
  </w:style>
  <w:style w:type="paragraph" w:styleId="Rodap">
    <w:name w:val="Footer"/>
    <w:basedOn w:val="CabealhoeRodap"/>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6.png"/><Relationship Id="rId20" Type="http://schemas.openxmlformats.org/officeDocument/2006/relationships/image" Target="media/image18.png"/><Relationship Id="rId21" Type="http://schemas.openxmlformats.org/officeDocument/2006/relationships/image" Target="media/image16.png"/><Relationship Id="rId22" Type="http://schemas.openxmlformats.org/officeDocument/2006/relationships/image" Target="media/image19.png"/><Relationship Id="rId23" Type="http://schemas.openxmlformats.org/officeDocument/2006/relationships/image" Target="media/image16.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comments" Target="comments.xml"/><Relationship Id="rId30" Type="http://schemas.microsoft.com/office/2011/relationships/commentsExtended" Target="commentsExtended.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171</TotalTime>
  <Application>LibreOffice/7.3.4.2$Windows_X86_64 LibreOffice_project/728fec16bd5f605073805c3c9e7c4212a0120dc5</Application>
  <AppVersion>15.0000</AppVersion>
  <Pages>14</Pages>
  <Words>3837</Words>
  <Characters>21696</Characters>
  <CharactersWithSpaces>25076</CharactersWithSpaces>
  <Paragraphs>334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pt-BR</dc:language>
  <cp:lastModifiedBy/>
  <dcterms:modified xsi:type="dcterms:W3CDTF">2022-10-14T14:19:00Z</dcterms:modified>
  <cp:revision>1</cp:revision>
  <dc:subject/>
  <dc:title/>
</cp:coreProperties>
</file>