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2B2992C" w:rsidP="51862C77" w:rsidRDefault="42B2992C" w14:paraId="024A6904" w14:textId="7060AE87">
      <w:pPr>
        <w:spacing w:line="240" w:lineRule="auto"/>
        <w:rPr>
          <w:rFonts w:ascii="Arial" w:hAnsi="Arial" w:eastAsia="Arial" w:cs="Arial"/>
          <w:b w:val="1"/>
          <w:bCs w:val="1"/>
          <w:color w:val="000000" w:themeColor="text1" w:themeTint="FF" w:themeShade="FF"/>
          <w:sz w:val="24"/>
          <w:szCs w:val="24"/>
        </w:rPr>
      </w:pPr>
      <w:r w:rsidRPr="51862C77" w:rsidR="09018B56">
        <w:rPr>
          <w:rFonts w:ascii="Arial" w:hAnsi="Arial" w:eastAsia="Arial" w:cs="Arial"/>
          <w:b w:val="1"/>
          <w:bCs w:val="1"/>
          <w:color w:val="000000" w:themeColor="text1" w:themeTint="FF" w:themeShade="FF"/>
          <w:sz w:val="24"/>
          <w:szCs w:val="24"/>
        </w:rPr>
        <w:t>Supplementary Material</w:t>
      </w:r>
      <w:r w:rsidRPr="51862C77" w:rsidR="54A96F05">
        <w:rPr>
          <w:rFonts w:ascii="Arial" w:hAnsi="Arial" w:eastAsia="Arial" w:cs="Arial"/>
          <w:b w:val="1"/>
          <w:bCs w:val="1"/>
          <w:color w:val="000000" w:themeColor="text1" w:themeTint="FF" w:themeShade="FF"/>
          <w:sz w:val="24"/>
          <w:szCs w:val="24"/>
        </w:rPr>
        <w:t xml:space="preserve"> S2</w:t>
      </w:r>
      <w:r w:rsidRPr="51862C77" w:rsidR="09018B56">
        <w:rPr>
          <w:rFonts w:ascii="Arial" w:hAnsi="Arial" w:eastAsia="Arial" w:cs="Arial"/>
          <w:b w:val="1"/>
          <w:bCs w:val="1"/>
          <w:color w:val="000000" w:themeColor="text1" w:themeTint="FF" w:themeShade="FF"/>
          <w:sz w:val="24"/>
          <w:szCs w:val="24"/>
        </w:rPr>
        <w:t>: Modelling and interpretation protocol</w:t>
      </w:r>
    </w:p>
    <w:p w:rsidR="42B2992C" w:rsidP="51862C77" w:rsidRDefault="42B2992C" w14:paraId="23B23CAC" w14:textId="68575B6B">
      <w:pPr>
        <w:spacing w:line="240" w:lineRule="auto"/>
      </w:pPr>
      <w:r w:rsidRPr="51862C77" w:rsidR="09018B56">
        <w:rPr>
          <w:rFonts w:ascii="Arial" w:hAnsi="Arial" w:eastAsia="Arial" w:cs="Arial"/>
          <w:b w:val="0"/>
          <w:bCs w:val="0"/>
          <w:color w:val="000000" w:themeColor="text1" w:themeTint="FF" w:themeShade="FF"/>
          <w:sz w:val="20"/>
          <w:szCs w:val="20"/>
        </w:rPr>
        <w:t>This supplementary material documents the final BPMN and DMN modelling decisions for the selected NVL COPD sections. The tables use a consistent structure across all subsections.</w:t>
      </w:r>
      <w:r w:rsidRPr="51862C77" w:rsidR="5C7A495B">
        <w:rPr>
          <w:rFonts w:ascii="Arial" w:hAnsi="Arial" w:eastAsia="Arial" w:cs="Arial"/>
          <w:b w:val="0"/>
          <w:bCs w:val="0"/>
          <w:color w:val="000000" w:themeColor="text1" w:themeTint="FF" w:themeShade="FF"/>
          <w:sz w:val="20"/>
          <w:szCs w:val="20"/>
        </w:rPr>
        <w:t xml:space="preserve"> Where German wording from the source protocol was present, it was translated into English. </w:t>
      </w:r>
      <w:r w:rsidRPr="51862C77" w:rsidR="09018B56">
        <w:rPr>
          <w:rFonts w:ascii="Arial" w:hAnsi="Arial" w:eastAsia="Arial" w:cs="Arial"/>
          <w:b w:val="0"/>
          <w:bCs w:val="0"/>
          <w:color w:val="000000" w:themeColor="text1" w:themeTint="FF" w:themeShade="FF"/>
          <w:sz w:val="20"/>
          <w:szCs w:val="20"/>
        </w:rPr>
        <w:t>Original guideline passages are presented as concise translated excerpts.</w:t>
      </w:r>
    </w:p>
    <w:p w:rsidR="7F6EF22F" w:rsidP="51862C77" w:rsidRDefault="7F6EF22F" w14:paraId="30AFA059" w14:textId="4F1B161D">
      <w:pPr>
        <w:spacing w:line="240" w:lineRule="auto"/>
        <w:rPr>
          <w:rFonts w:ascii="Arial" w:hAnsi="Arial" w:eastAsia="Arial" w:cs="Arial"/>
          <w:b w:val="0"/>
          <w:bCs w:val="0"/>
          <w:color w:val="000000" w:themeColor="text1" w:themeTint="FF" w:themeShade="FF"/>
          <w:sz w:val="20"/>
          <w:szCs w:val="20"/>
        </w:rPr>
      </w:pPr>
    </w:p>
    <w:p w:rsidR="4B6F0347" w:rsidP="51862C77" w:rsidRDefault="4B6F0347" w14:paraId="2684B872" w14:textId="4261B615">
      <w:pPr>
        <w:pStyle w:val="Normal"/>
        <w:spacing w:line="240" w:lineRule="auto"/>
      </w:pPr>
      <w:r w:rsidRPr="51862C77" w:rsidR="4143A754">
        <w:rPr>
          <w:rFonts w:ascii="Arial" w:hAnsi="Arial" w:eastAsia="Arial" w:cs="Arial"/>
          <w:b w:val="1"/>
          <w:bCs w:val="1"/>
          <w:color w:val="000000" w:themeColor="text1" w:themeTint="FF" w:themeShade="FF"/>
        </w:rPr>
        <w:t xml:space="preserve">Supplement </w:t>
      </w:r>
      <w:r w:rsidRPr="51862C77" w:rsidR="01A23252">
        <w:rPr>
          <w:rFonts w:ascii="Arial" w:hAnsi="Arial" w:eastAsia="Arial" w:cs="Arial"/>
          <w:b w:val="1"/>
          <w:bCs w:val="1"/>
          <w:color w:val="000000" w:themeColor="text1" w:themeTint="FF" w:themeShade="FF"/>
        </w:rPr>
        <w:t>S</w:t>
      </w:r>
      <w:r w:rsidRPr="51862C77" w:rsidR="4D6D9652">
        <w:rPr>
          <w:rFonts w:ascii="Arial" w:hAnsi="Arial" w:eastAsia="Arial" w:cs="Arial"/>
          <w:b w:val="1"/>
          <w:bCs w:val="1"/>
          <w:color w:val="000000" w:themeColor="text1" w:themeTint="FF" w:themeShade="FF"/>
        </w:rPr>
        <w:t>2</w:t>
      </w:r>
      <w:r w:rsidRPr="51862C77" w:rsidR="4143A754">
        <w:rPr>
          <w:rFonts w:ascii="Arial" w:hAnsi="Arial" w:eastAsia="Arial" w:cs="Arial"/>
          <w:b w:val="1"/>
          <w:bCs w:val="1"/>
          <w:color w:val="000000" w:themeColor="text1" w:themeTint="FF" w:themeShade="FF"/>
        </w:rPr>
        <w:t xml:space="preserve">a: </w:t>
      </w:r>
      <w:r w:rsidRPr="51862C77" w:rsidR="7AC9DFF9">
        <w:rPr>
          <w:rFonts w:ascii="Arial" w:hAnsi="Arial" w:eastAsia="Arial" w:cs="Arial"/>
          <w:b w:val="1"/>
          <w:bCs w:val="1"/>
          <w:color w:val="000000" w:themeColor="text1" w:themeTint="FF" w:themeShade="FF"/>
        </w:rPr>
        <w:t>Modelling and interpretation</w:t>
      </w:r>
      <w:r w:rsidRPr="51862C77" w:rsidR="7AC9DFF9">
        <w:rPr>
          <w:rFonts w:ascii="Arial" w:hAnsi="Arial" w:eastAsia="Arial" w:cs="Arial"/>
          <w:b w:val="1"/>
          <w:bCs w:val="1"/>
          <w:color w:val="000000" w:themeColor="text1" w:themeTint="FF" w:themeShade="FF"/>
        </w:rPr>
        <w:t xml:space="preserve"> </w:t>
      </w:r>
      <w:r w:rsidRPr="51862C77" w:rsidR="7AC9DFF9">
        <w:rPr>
          <w:rFonts w:ascii="Arial" w:hAnsi="Arial" w:eastAsia="Arial" w:cs="Arial"/>
          <w:b w:val="1"/>
          <w:bCs w:val="1"/>
          <w:color w:val="000000" w:themeColor="text1" w:themeTint="FF" w:themeShade="FF"/>
        </w:rPr>
        <w:t>protocol</w:t>
      </w:r>
      <w:r w:rsidRPr="51862C77" w:rsidR="7AC9DFF9">
        <w:rPr>
          <w:rFonts w:ascii="Arial" w:hAnsi="Arial" w:eastAsia="Arial" w:cs="Arial"/>
          <w:b w:val="1"/>
          <w:bCs w:val="1"/>
          <w:color w:val="000000" w:themeColor="text1" w:themeTint="FF" w:themeShade="FF"/>
        </w:rPr>
        <w:t xml:space="preserve"> </w:t>
      </w:r>
      <w:r w:rsidRPr="51862C77" w:rsidR="4143A754">
        <w:rPr>
          <w:rFonts w:ascii="Arial" w:hAnsi="Arial" w:eastAsia="Arial" w:cs="Arial"/>
          <w:b w:val="1"/>
          <w:bCs w:val="1"/>
          <w:color w:val="000000" w:themeColor="text1" w:themeTint="FF" w:themeShade="FF"/>
        </w:rPr>
        <w:t>for</w:t>
      </w:r>
      <w:r w:rsidRPr="51862C77" w:rsidR="4143A754">
        <w:rPr>
          <w:rFonts w:ascii="Arial" w:hAnsi="Arial" w:eastAsia="Arial" w:cs="Arial"/>
          <w:b w:val="1"/>
          <w:bCs w:val="1"/>
          <w:color w:val="000000" w:themeColor="text1" w:themeTint="FF" w:themeShade="FF"/>
        </w:rPr>
        <w:t xml:space="preserve"> NVL COPD </w:t>
      </w:r>
      <w:r w:rsidRPr="51862C77" w:rsidR="4143A754">
        <w:rPr>
          <w:rFonts w:ascii="Arial" w:hAnsi="Arial" w:eastAsia="Arial" w:cs="Arial"/>
          <w:b w:val="1"/>
          <w:bCs w:val="1"/>
          <w:color w:val="000000" w:themeColor="text1" w:themeTint="FF" w:themeShade="FF"/>
        </w:rPr>
        <w:t>Section</w:t>
      </w:r>
      <w:r w:rsidRPr="51862C77" w:rsidR="4143A754">
        <w:rPr>
          <w:rFonts w:ascii="Arial" w:hAnsi="Arial" w:eastAsia="Arial" w:cs="Arial"/>
          <w:b w:val="1"/>
          <w:bCs w:val="1"/>
          <w:color w:val="000000" w:themeColor="text1" w:themeTint="FF" w:themeShade="FF"/>
        </w:rPr>
        <w:t xml:space="preserve"> 3.2</w:t>
      </w:r>
    </w:p>
    <w:p w:rsidR="334BAB4D" w:rsidP="51862C77" w:rsidRDefault="334BAB4D" w14:paraId="7626A932" w14:textId="114E7D88">
      <w:pPr>
        <w:spacing w:line="240" w:lineRule="auto"/>
      </w:pPr>
      <w:r w:rsidRPr="51862C77" w:rsidR="1C70BA0B">
        <w:rPr>
          <w:rFonts w:ascii="Arial" w:hAnsi="Arial" w:eastAsia="Arial" w:cs="Arial"/>
          <w:b w:val="0"/>
          <w:bCs w:val="0"/>
          <w:color w:val="000000" w:themeColor="text1" w:themeTint="FF" w:themeShade="FF"/>
          <w:sz w:val="20"/>
          <w:szCs w:val="20"/>
        </w:rPr>
        <w:t xml:space="preserve">The BPMN </w:t>
      </w:r>
      <w:r w:rsidRPr="51862C77" w:rsidR="1C70BA0B">
        <w:rPr>
          <w:rFonts w:ascii="Arial" w:hAnsi="Arial" w:eastAsia="Arial" w:cs="Arial"/>
          <w:b w:val="0"/>
          <w:bCs w:val="0"/>
          <w:color w:val="000000" w:themeColor="text1" w:themeTint="FF" w:themeShade="FF"/>
          <w:sz w:val="20"/>
          <w:szCs w:val="20"/>
        </w:rPr>
        <w:t>modelling</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decisions</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for</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the</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smoking</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cessation</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process</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are</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presented</w:t>
      </w:r>
      <w:r w:rsidRPr="51862C77" w:rsidR="1C70BA0B">
        <w:rPr>
          <w:rFonts w:ascii="Arial" w:hAnsi="Arial" w:eastAsia="Arial" w:cs="Arial"/>
          <w:b w:val="0"/>
          <w:bCs w:val="0"/>
          <w:color w:val="000000" w:themeColor="text1" w:themeTint="FF" w:themeShade="FF"/>
          <w:sz w:val="20"/>
          <w:szCs w:val="20"/>
        </w:rPr>
        <w:t xml:space="preserve"> in Table S2a-1. The </w:t>
      </w:r>
      <w:r w:rsidRPr="51862C77" w:rsidR="1C70BA0B">
        <w:rPr>
          <w:rFonts w:ascii="Arial" w:hAnsi="Arial" w:eastAsia="Arial" w:cs="Arial"/>
          <w:b w:val="0"/>
          <w:bCs w:val="0"/>
          <w:color w:val="000000" w:themeColor="text1" w:themeTint="FF" w:themeShade="FF"/>
          <w:sz w:val="20"/>
          <w:szCs w:val="20"/>
        </w:rPr>
        <w:t>table</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shows</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how</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selected</w:t>
      </w:r>
      <w:r w:rsidRPr="51862C77" w:rsidR="1C70BA0B">
        <w:rPr>
          <w:rFonts w:ascii="Arial" w:hAnsi="Arial" w:eastAsia="Arial" w:cs="Arial"/>
          <w:b w:val="0"/>
          <w:bCs w:val="0"/>
          <w:color w:val="000000" w:themeColor="text1" w:themeTint="FF" w:themeShade="FF"/>
          <w:sz w:val="20"/>
          <w:szCs w:val="20"/>
        </w:rPr>
        <w:t xml:space="preserve"> source </w:t>
      </w:r>
      <w:r w:rsidRPr="51862C77" w:rsidR="1C70BA0B">
        <w:rPr>
          <w:rFonts w:ascii="Arial" w:hAnsi="Arial" w:eastAsia="Arial" w:cs="Arial"/>
          <w:b w:val="0"/>
          <w:bCs w:val="0"/>
          <w:color w:val="000000" w:themeColor="text1" w:themeTint="FF" w:themeShade="FF"/>
          <w:sz w:val="20"/>
          <w:szCs w:val="20"/>
        </w:rPr>
        <w:t>passages</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from</w:t>
      </w:r>
      <w:r w:rsidRPr="51862C77" w:rsidR="1C70BA0B">
        <w:rPr>
          <w:rFonts w:ascii="Arial" w:hAnsi="Arial" w:eastAsia="Arial" w:cs="Arial"/>
          <w:b w:val="0"/>
          <w:bCs w:val="0"/>
          <w:color w:val="000000" w:themeColor="text1" w:themeTint="FF" w:themeShade="FF"/>
          <w:sz w:val="20"/>
          <w:szCs w:val="20"/>
        </w:rPr>
        <w:t xml:space="preserve"> NVL COPD </w:t>
      </w:r>
      <w:r w:rsidRPr="51862C77" w:rsidR="1C70BA0B">
        <w:rPr>
          <w:rFonts w:ascii="Arial" w:hAnsi="Arial" w:eastAsia="Arial" w:cs="Arial"/>
          <w:b w:val="0"/>
          <w:bCs w:val="0"/>
          <w:color w:val="000000" w:themeColor="text1" w:themeTint="FF" w:themeShade="FF"/>
          <w:sz w:val="20"/>
          <w:szCs w:val="20"/>
        </w:rPr>
        <w:t>Section</w:t>
      </w:r>
      <w:r w:rsidRPr="51862C77" w:rsidR="1C70BA0B">
        <w:rPr>
          <w:rFonts w:ascii="Arial" w:hAnsi="Arial" w:eastAsia="Arial" w:cs="Arial"/>
          <w:b w:val="0"/>
          <w:bCs w:val="0"/>
          <w:color w:val="000000" w:themeColor="text1" w:themeTint="FF" w:themeShade="FF"/>
          <w:sz w:val="20"/>
          <w:szCs w:val="20"/>
        </w:rPr>
        <w:t xml:space="preserve"> 3.2 </w:t>
      </w:r>
      <w:r w:rsidRPr="51862C77" w:rsidR="1C70BA0B">
        <w:rPr>
          <w:rFonts w:ascii="Arial" w:hAnsi="Arial" w:eastAsia="Arial" w:cs="Arial"/>
          <w:b w:val="0"/>
          <w:bCs w:val="0"/>
          <w:color w:val="000000" w:themeColor="text1" w:themeTint="FF" w:themeShade="FF"/>
          <w:sz w:val="20"/>
          <w:szCs w:val="20"/>
        </w:rPr>
        <w:t>were</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translated</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into</w:t>
      </w:r>
      <w:r w:rsidRPr="51862C77" w:rsidR="1C70BA0B">
        <w:rPr>
          <w:rFonts w:ascii="Arial" w:hAnsi="Arial" w:eastAsia="Arial" w:cs="Arial"/>
          <w:b w:val="0"/>
          <w:bCs w:val="0"/>
          <w:color w:val="000000" w:themeColor="text1" w:themeTint="FF" w:themeShade="FF"/>
          <w:sz w:val="20"/>
          <w:szCs w:val="20"/>
        </w:rPr>
        <w:t xml:space="preserve"> BPMN </w:t>
      </w:r>
      <w:r w:rsidRPr="51862C77" w:rsidR="1C70BA0B">
        <w:rPr>
          <w:rFonts w:ascii="Arial" w:hAnsi="Arial" w:eastAsia="Arial" w:cs="Arial"/>
          <w:b w:val="0"/>
          <w:bCs w:val="0"/>
          <w:color w:val="000000" w:themeColor="text1" w:themeTint="FF" w:themeShade="FF"/>
          <w:sz w:val="20"/>
          <w:szCs w:val="20"/>
        </w:rPr>
        <w:t>elements</w:t>
      </w:r>
      <w:r w:rsidRPr="51862C77" w:rsidR="1C70BA0B">
        <w:rPr>
          <w:rFonts w:ascii="Arial" w:hAnsi="Arial" w:eastAsia="Arial" w:cs="Arial"/>
          <w:b w:val="0"/>
          <w:bCs w:val="0"/>
          <w:color w:val="000000" w:themeColor="text1" w:themeTint="FF" w:themeShade="FF"/>
          <w:sz w:val="20"/>
          <w:szCs w:val="20"/>
        </w:rPr>
        <w:t xml:space="preserve"> and </w:t>
      </w:r>
      <w:r w:rsidRPr="51862C77" w:rsidR="1C70BA0B">
        <w:rPr>
          <w:rFonts w:ascii="Arial" w:hAnsi="Arial" w:eastAsia="Arial" w:cs="Arial"/>
          <w:b w:val="0"/>
          <w:bCs w:val="0"/>
          <w:color w:val="000000" w:themeColor="text1" w:themeTint="FF" w:themeShade="FF"/>
          <w:sz w:val="20"/>
          <w:szCs w:val="20"/>
        </w:rPr>
        <w:t>modelling</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assumptions</w:t>
      </w:r>
      <w:r w:rsidRPr="51862C77" w:rsidR="1C70BA0B">
        <w:rPr>
          <w:rFonts w:ascii="Arial" w:hAnsi="Arial" w:eastAsia="Arial" w:cs="Arial"/>
          <w:b w:val="0"/>
          <w:bCs w:val="0"/>
          <w:color w:val="000000" w:themeColor="text1" w:themeTint="FF" w:themeShade="FF"/>
          <w:sz w:val="20"/>
          <w:szCs w:val="20"/>
        </w:rPr>
        <w:t xml:space="preserve">. The </w:t>
      </w:r>
      <w:r w:rsidRPr="51862C77" w:rsidR="1C70BA0B">
        <w:rPr>
          <w:rFonts w:ascii="Arial" w:hAnsi="Arial" w:eastAsia="Arial" w:cs="Arial"/>
          <w:b w:val="0"/>
          <w:bCs w:val="0"/>
          <w:color w:val="000000" w:themeColor="text1" w:themeTint="FF" w:themeShade="FF"/>
          <w:sz w:val="20"/>
          <w:szCs w:val="20"/>
        </w:rPr>
        <w:t>corresponding</w:t>
      </w:r>
      <w:r w:rsidRPr="51862C77" w:rsidR="1C70BA0B">
        <w:rPr>
          <w:rFonts w:ascii="Arial" w:hAnsi="Arial" w:eastAsia="Arial" w:cs="Arial"/>
          <w:b w:val="0"/>
          <w:bCs w:val="0"/>
          <w:color w:val="000000" w:themeColor="text1" w:themeTint="FF" w:themeShade="FF"/>
          <w:sz w:val="20"/>
          <w:szCs w:val="20"/>
        </w:rPr>
        <w:t xml:space="preserve"> DMN </w:t>
      </w:r>
      <w:r w:rsidRPr="51862C77" w:rsidR="1C70BA0B">
        <w:rPr>
          <w:rFonts w:ascii="Arial" w:hAnsi="Arial" w:eastAsia="Arial" w:cs="Arial"/>
          <w:b w:val="0"/>
          <w:bCs w:val="0"/>
          <w:color w:val="000000" w:themeColor="text1" w:themeTint="FF" w:themeShade="FF"/>
          <w:sz w:val="20"/>
          <w:szCs w:val="20"/>
        </w:rPr>
        <w:t>structure</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is</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documented</w:t>
      </w:r>
      <w:r w:rsidRPr="51862C77" w:rsidR="1C70BA0B">
        <w:rPr>
          <w:rFonts w:ascii="Arial" w:hAnsi="Arial" w:eastAsia="Arial" w:cs="Arial"/>
          <w:b w:val="0"/>
          <w:bCs w:val="0"/>
          <w:color w:val="000000" w:themeColor="text1" w:themeTint="FF" w:themeShade="FF"/>
          <w:sz w:val="20"/>
          <w:szCs w:val="20"/>
        </w:rPr>
        <w:t xml:space="preserve"> in Table S2a-2. </w:t>
      </w:r>
      <w:r w:rsidRPr="51862C77" w:rsidR="1C70BA0B">
        <w:rPr>
          <w:rFonts w:ascii="Arial" w:hAnsi="Arial" w:eastAsia="Arial" w:cs="Arial"/>
          <w:b w:val="0"/>
          <w:bCs w:val="0"/>
          <w:color w:val="000000" w:themeColor="text1" w:themeTint="FF" w:themeShade="FF"/>
          <w:sz w:val="20"/>
          <w:szCs w:val="20"/>
        </w:rPr>
        <w:t>It</w:t>
      </w:r>
      <w:r w:rsidRPr="51862C77" w:rsidR="1C70BA0B">
        <w:rPr>
          <w:rFonts w:ascii="Arial" w:hAnsi="Arial" w:eastAsia="Arial" w:cs="Arial"/>
          <w:b w:val="0"/>
          <w:bCs w:val="0"/>
          <w:color w:val="000000" w:themeColor="text1" w:themeTint="FF" w:themeShade="FF"/>
          <w:sz w:val="20"/>
          <w:szCs w:val="20"/>
        </w:rPr>
        <w:t xml:space="preserve"> links </w:t>
      </w:r>
      <w:r w:rsidRPr="51862C77" w:rsidR="1C70BA0B">
        <w:rPr>
          <w:rFonts w:ascii="Arial" w:hAnsi="Arial" w:eastAsia="Arial" w:cs="Arial"/>
          <w:b w:val="0"/>
          <w:bCs w:val="0"/>
          <w:color w:val="000000" w:themeColor="text1" w:themeTint="FF" w:themeShade="FF"/>
          <w:sz w:val="20"/>
          <w:szCs w:val="20"/>
        </w:rPr>
        <w:t>the</w:t>
      </w:r>
      <w:r w:rsidRPr="51862C77" w:rsidR="1C70BA0B">
        <w:rPr>
          <w:rFonts w:ascii="Arial" w:hAnsi="Arial" w:eastAsia="Arial" w:cs="Arial"/>
          <w:b w:val="0"/>
          <w:bCs w:val="0"/>
          <w:color w:val="000000" w:themeColor="text1" w:themeTint="FF" w:themeShade="FF"/>
          <w:sz w:val="20"/>
          <w:szCs w:val="20"/>
        </w:rPr>
        <w:t xml:space="preserve"> relevant variables, </w:t>
      </w:r>
      <w:r w:rsidRPr="51862C77" w:rsidR="1C70BA0B">
        <w:rPr>
          <w:rFonts w:ascii="Arial" w:hAnsi="Arial" w:eastAsia="Arial" w:cs="Arial"/>
          <w:b w:val="0"/>
          <w:bCs w:val="0"/>
          <w:color w:val="000000" w:themeColor="text1" w:themeTint="FF" w:themeShade="FF"/>
          <w:sz w:val="20"/>
          <w:szCs w:val="20"/>
        </w:rPr>
        <w:t>rule</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conditions</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outputs</w:t>
      </w:r>
      <w:r w:rsidRPr="51862C77" w:rsidR="1C70BA0B">
        <w:rPr>
          <w:rFonts w:ascii="Arial" w:hAnsi="Arial" w:eastAsia="Arial" w:cs="Arial"/>
          <w:b w:val="0"/>
          <w:bCs w:val="0"/>
          <w:color w:val="000000" w:themeColor="text1" w:themeTint="FF" w:themeShade="FF"/>
          <w:sz w:val="20"/>
          <w:szCs w:val="20"/>
        </w:rPr>
        <w:t xml:space="preserve">, and BPMN </w:t>
      </w:r>
      <w:r w:rsidRPr="51862C77" w:rsidR="1C70BA0B">
        <w:rPr>
          <w:rFonts w:ascii="Arial" w:hAnsi="Arial" w:eastAsia="Arial" w:cs="Arial"/>
          <w:b w:val="0"/>
          <w:bCs w:val="0"/>
          <w:color w:val="000000" w:themeColor="text1" w:themeTint="FF" w:themeShade="FF"/>
          <w:sz w:val="20"/>
          <w:szCs w:val="20"/>
        </w:rPr>
        <w:t>references</w:t>
      </w:r>
      <w:r w:rsidRPr="51862C77" w:rsidR="1C70BA0B">
        <w:rPr>
          <w:rFonts w:ascii="Arial" w:hAnsi="Arial" w:eastAsia="Arial" w:cs="Arial"/>
          <w:b w:val="0"/>
          <w:bCs w:val="0"/>
          <w:color w:val="000000" w:themeColor="text1" w:themeTint="FF" w:themeShade="FF"/>
          <w:sz w:val="20"/>
          <w:szCs w:val="20"/>
        </w:rPr>
        <w:t xml:space="preserve"> </w:t>
      </w:r>
      <w:r w:rsidRPr="51862C77" w:rsidR="1C70BA0B">
        <w:rPr>
          <w:rFonts w:ascii="Arial" w:hAnsi="Arial" w:eastAsia="Arial" w:cs="Arial"/>
          <w:b w:val="0"/>
          <w:bCs w:val="0"/>
          <w:color w:val="000000" w:themeColor="text1" w:themeTint="FF" w:themeShade="FF"/>
          <w:sz w:val="20"/>
          <w:szCs w:val="20"/>
        </w:rPr>
        <w:t>used</w:t>
      </w:r>
      <w:r w:rsidRPr="51862C77" w:rsidR="1C70BA0B">
        <w:rPr>
          <w:rFonts w:ascii="Arial" w:hAnsi="Arial" w:eastAsia="Arial" w:cs="Arial"/>
          <w:b w:val="0"/>
          <w:bCs w:val="0"/>
          <w:color w:val="000000" w:themeColor="text1" w:themeTint="FF" w:themeShade="FF"/>
          <w:sz w:val="20"/>
          <w:szCs w:val="20"/>
        </w:rPr>
        <w:t xml:space="preserve"> to represent the decision logic of NVL COPD Section 3.2.</w:t>
      </w:r>
    </w:p>
    <w:p w:rsidR="7F6EF22F" w:rsidP="51862C77" w:rsidRDefault="7F6EF22F" w14:paraId="3BC695E2" w14:textId="281E432C">
      <w:pPr>
        <w:spacing w:line="240" w:lineRule="auto"/>
        <w:rPr>
          <w:rFonts w:ascii="Arial" w:hAnsi="Arial" w:eastAsia="Arial" w:cs="Arial"/>
          <w:b w:val="0"/>
          <w:bCs w:val="0"/>
          <w:color w:val="000000" w:themeColor="text1" w:themeTint="FF" w:themeShade="FF"/>
          <w:sz w:val="20"/>
          <w:szCs w:val="20"/>
        </w:rPr>
      </w:pPr>
    </w:p>
    <w:p w:rsidR="6AA28D8F" w:rsidP="51862C77" w:rsidRDefault="6AA28D8F" w14:paraId="7F627422" w14:textId="0D4C0A10">
      <w:pPr>
        <w:spacing w:line="240" w:lineRule="auto"/>
        <w:rPr>
          <w:rFonts w:ascii="Arial" w:hAnsi="Arial" w:eastAsia="Arial" w:cs="Arial"/>
          <w:b w:val="1"/>
          <w:bCs w:val="1"/>
          <w:color w:val="000000" w:themeColor="text1" w:themeTint="FF" w:themeShade="FF"/>
          <w:sz w:val="20"/>
          <w:szCs w:val="20"/>
        </w:rPr>
      </w:pPr>
      <w:r w:rsidRPr="51862C77" w:rsidR="3DAE8FFE">
        <w:rPr>
          <w:rFonts w:ascii="Arial" w:hAnsi="Arial" w:eastAsia="Arial" w:cs="Arial"/>
          <w:b w:val="1"/>
          <w:bCs w:val="1"/>
          <w:color w:val="000000" w:themeColor="text1" w:themeTint="FF" w:themeShade="FF"/>
          <w:sz w:val="20"/>
          <w:szCs w:val="20"/>
        </w:rPr>
        <w:t>Table S2a-1. BPMN modelling decisions for NVL COPD Section 3.2.</w:t>
      </w:r>
    </w:p>
    <w:tbl>
      <w:tblPr>
        <w:tblStyle w:val="TableGrid"/>
        <w:bidiVisual w:val="0"/>
        <w:tblW w:w="9015" w:type="dxa"/>
        <w:tblLook w:val="06A0" w:firstRow="1" w:lastRow="0" w:firstColumn="1" w:lastColumn="0" w:noHBand="1" w:noVBand="1"/>
      </w:tblPr>
      <w:tblGrid>
        <w:gridCol w:w="1942"/>
        <w:gridCol w:w="1942"/>
        <w:gridCol w:w="2446"/>
        <w:gridCol w:w="2685"/>
      </w:tblGrid>
      <w:tr w:rsidR="7F6EF22F" w:rsidTr="52C55E83" w14:paraId="3EA4BE01">
        <w:trPr>
          <w:trHeight w:val="300"/>
        </w:trPr>
        <w:tc>
          <w:tcPr>
            <w:tcW w:w="1942" w:type="dxa"/>
            <w:tcBorders>
              <w:top w:val="single" w:sz="8"/>
              <w:left w:val="single" w:sz="8"/>
              <w:bottom w:val="single" w:sz="8"/>
              <w:right w:val="single" w:sz="8"/>
            </w:tcBorders>
            <w:tcMar>
              <w:left w:w="108" w:type="dxa"/>
              <w:right w:w="108" w:type="dxa"/>
            </w:tcMar>
            <w:vAlign w:val="top"/>
          </w:tcPr>
          <w:p w:rsidR="2F39C556" w:rsidP="52C55E83" w:rsidRDefault="2F39C556" w14:paraId="0291047E" w14:textId="63C24C96">
            <w:pPr>
              <w:spacing w:before="0" w:beforeAutospacing="off" w:after="0" w:afterAutospacing="off" w:line="240" w:lineRule="auto"/>
              <w:jc w:val="center"/>
              <w:rPr>
                <w:rFonts w:ascii="Arial" w:hAnsi="Arial" w:eastAsia="Arial" w:cs="Arial"/>
                <w:b w:val="1"/>
                <w:bCs w:val="1"/>
                <w:sz w:val="18"/>
                <w:szCs w:val="18"/>
                <w:lang w:val="en-US"/>
              </w:rPr>
            </w:pPr>
            <w:r w:rsidRPr="52C55E83" w:rsidR="2F39C556">
              <w:rPr>
                <w:rFonts w:ascii="Arial" w:hAnsi="Arial" w:eastAsia="Arial" w:cs="Arial"/>
                <w:b w:val="1"/>
                <w:bCs w:val="1"/>
                <w:sz w:val="18"/>
                <w:szCs w:val="18"/>
                <w:lang w:val="en-US"/>
              </w:rPr>
              <w:t>Original quote</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3EAE5005" w14:textId="383F87D1">
            <w:pPr>
              <w:spacing w:before="0" w:beforeAutospacing="off" w:after="0" w:afterAutospacing="off" w:line="240" w:lineRule="auto"/>
              <w:jc w:val="center"/>
            </w:pPr>
            <w:r w:rsidRPr="52C55E83" w:rsidR="2F39C556">
              <w:rPr>
                <w:rFonts w:ascii="Arial" w:hAnsi="Arial" w:eastAsia="Arial" w:cs="Arial"/>
                <w:b w:val="1"/>
                <w:bCs w:val="1"/>
                <w:sz w:val="18"/>
                <w:szCs w:val="18"/>
                <w:lang w:val="en-US"/>
              </w:rPr>
              <w:t>Translation into English</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34A38E6A" w14:textId="1F8CFA5E">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Modelling issue</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16AB0C30" w14:textId="12043E51">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Modelling decision and rationale</w:t>
            </w:r>
          </w:p>
        </w:tc>
      </w:tr>
      <w:tr w:rsidR="7F6EF22F" w:rsidTr="52C55E83" w14:paraId="545601DB">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5DEF1E19" w14:textId="05228B54">
            <w:pPr>
              <w:bidi w:val="0"/>
              <w:spacing w:before="0" w:beforeAutospacing="off" w:after="0" w:afterAutospacing="off"/>
              <w:rPr>
                <w:rFonts w:ascii="Arial" w:hAnsi="Arial" w:eastAsia="Arial" w:cs="Arial"/>
                <w:sz w:val="18"/>
                <w:szCs w:val="18"/>
              </w:rPr>
            </w:pPr>
            <w:r w:rsidRPr="52C55E83" w:rsidR="52C55E83">
              <w:rPr>
                <w:rFonts w:ascii="Arial" w:hAnsi="Arial" w:eastAsia="Arial" w:cs="Arial"/>
                <w:sz w:val="18"/>
                <w:szCs w:val="18"/>
                <w:lang w:val="de-DE"/>
              </w:rPr>
              <w:t>Abbildung 3:</w:t>
            </w:r>
          </w:p>
          <w:p w:rsidR="52C55E83" w:rsidP="52C55E83" w:rsidRDefault="52C55E83" w14:paraId="66CC5E18" w14:textId="18F4517D">
            <w:pPr>
              <w:bidi w:val="0"/>
              <w:spacing w:before="0" w:beforeAutospacing="off" w:after="0" w:afterAutospacing="off"/>
              <w:rPr>
                <w:rFonts w:ascii="Arial" w:hAnsi="Arial" w:eastAsia="Arial" w:cs="Arial"/>
                <w:sz w:val="18"/>
                <w:szCs w:val="18"/>
              </w:rPr>
            </w:pPr>
            <w:r w:rsidRPr="52C55E83" w:rsidR="52C55E83">
              <w:rPr>
                <w:rFonts w:ascii="Arial" w:hAnsi="Arial" w:eastAsia="Arial" w:cs="Arial"/>
                <w:sz w:val="18"/>
                <w:szCs w:val="18"/>
                <w:lang w:val="de-DE"/>
              </w:rPr>
              <w:t>“ Rauchende Patient*innen mit COPD “</w:t>
            </w:r>
          </w:p>
          <w:p w:rsidR="52C55E83" w:rsidP="52C55E83" w:rsidRDefault="52C55E83" w14:paraId="3FC45871" w14:textId="669E4214">
            <w:pPr>
              <w:bidi w:val="0"/>
              <w:spacing w:before="0" w:beforeAutospacing="off" w:after="0" w:afterAutospacing="off"/>
              <w:rPr>
                <w:rFonts w:ascii="Arial" w:hAnsi="Arial" w:eastAsia="Arial" w:cs="Arial"/>
                <w:sz w:val="18"/>
                <w:szCs w:val="18"/>
              </w:rPr>
            </w:pP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5B203C48" w14:textId="5314CA83">
            <w:pPr>
              <w:spacing w:before="0" w:beforeAutospacing="off" w:after="0" w:afterAutospacing="off" w:line="240" w:lineRule="auto"/>
              <w:rPr>
                <w:rFonts w:ascii="Arial" w:hAnsi="Arial" w:eastAsia="Arial" w:cs="Arial"/>
                <w:b w:val="0"/>
                <w:bCs w:val="0"/>
                <w:color w:val="000000" w:themeColor="text1" w:themeTint="FF" w:themeShade="FF"/>
                <w:sz w:val="18"/>
                <w:szCs w:val="18"/>
                <w:lang w:val="en-US"/>
              </w:rPr>
            </w:pPr>
            <w:r w:rsidRPr="51862C77" w:rsidR="00D62B49">
              <w:rPr>
                <w:rFonts w:ascii="Arial" w:hAnsi="Arial" w:eastAsia="Arial" w:cs="Arial"/>
                <w:sz w:val="18"/>
                <w:szCs w:val="18"/>
                <w:lang w:val="en-US"/>
              </w:rPr>
              <w:t xml:space="preserve">Figure 3: 'Smoking </w:t>
            </w:r>
            <w:r w:rsidRPr="51862C77" w:rsidR="00D62B49">
              <w:rPr>
                <w:rFonts w:ascii="Arial" w:hAnsi="Arial" w:eastAsia="Arial" w:cs="Arial" w:asciiTheme="minorAscii" w:hAnsiTheme="minorAscii" w:eastAsiaTheme="minorAscii" w:cstheme="minorBidi"/>
                <w:b w:val="0"/>
                <w:bCs w:val="0"/>
                <w:color w:val="000000" w:themeColor="text1" w:themeTint="FF" w:themeShade="FF"/>
                <w:sz w:val="18"/>
                <w:szCs w:val="18"/>
                <w:lang w:val="en-US" w:eastAsia="en-US" w:bidi="ar-SA"/>
              </w:rPr>
              <w:t>patients</w:t>
            </w:r>
            <w:r w:rsidRPr="51862C77" w:rsidR="00D62B49">
              <w:rPr>
                <w:rFonts w:ascii="Arial" w:hAnsi="Arial" w:eastAsia="Arial" w:cs="Arial"/>
                <w:sz w:val="18"/>
                <w:szCs w:val="18"/>
                <w:lang w:val="en-US"/>
              </w:rPr>
              <w:t xml:space="preserve"> </w:t>
            </w:r>
            <w:r w:rsidRPr="51862C77" w:rsidR="00D62B49">
              <w:rPr>
                <w:rFonts w:ascii="Arial" w:hAnsi="Arial" w:eastAsia="Arial" w:cs="Arial" w:asciiTheme="minorAscii" w:hAnsiTheme="minorAscii" w:eastAsiaTheme="minorAscii" w:cstheme="minorBidi"/>
                <w:b w:val="0"/>
                <w:bCs w:val="0"/>
                <w:color w:val="000000" w:themeColor="text1" w:themeTint="FF" w:themeShade="FF"/>
                <w:sz w:val="18"/>
                <w:szCs w:val="18"/>
                <w:lang w:val="en-US" w:eastAsia="en-US" w:bidi="ar-SA"/>
              </w:rPr>
              <w:t>with</w:t>
            </w:r>
            <w:r w:rsidRPr="51862C77" w:rsidR="00D62B49">
              <w:rPr>
                <w:rFonts w:ascii="Arial" w:hAnsi="Arial" w:eastAsia="Arial" w:cs="Arial"/>
                <w:sz w:val="18"/>
                <w:szCs w:val="18"/>
                <w:lang w:val="en-US"/>
              </w:rPr>
              <w:t xml:space="preserve"> COPD.'</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1D93E60D" w14:textId="3EC7CCA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names the target population but does not define an explicit trigger event.</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3C3F2AAE" w14:textId="603703F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target population was modelled as the start event: 'Patient with COPD is currently smoking'. This treats the population statement as the trigger for the smoking cessation process.</w:t>
            </w:r>
          </w:p>
        </w:tc>
      </w:tr>
      <w:tr w:rsidR="7F6EF22F" w:rsidTr="52C55E83" w14:paraId="157FB207">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055D528D" w14:textId="6E5868F4">
            <w:pPr>
              <w:bidi w:val="0"/>
              <w:spacing w:before="0" w:beforeAutospacing="off" w:after="0" w:afterAutospacing="off"/>
              <w:rPr>
                <w:rFonts w:ascii="Arial" w:hAnsi="Arial" w:eastAsia="Arial" w:cs="Arial"/>
                <w:sz w:val="18"/>
                <w:szCs w:val="18"/>
              </w:rPr>
            </w:pPr>
            <w:r w:rsidRPr="52C55E83" w:rsidR="52C55E83">
              <w:rPr>
                <w:rFonts w:ascii="Arial" w:hAnsi="Arial" w:eastAsia="Arial" w:cs="Arial"/>
                <w:sz w:val="18"/>
                <w:szCs w:val="18"/>
                <w:lang w:val="de-DE"/>
              </w:rPr>
              <w:t>3.2.1, Seite 31:</w:t>
            </w:r>
          </w:p>
          <w:p w:rsidR="52C55E83" w:rsidP="52C55E83" w:rsidRDefault="52C55E83" w14:paraId="11E3D0E9" w14:textId="080084A3">
            <w:pPr>
              <w:bidi w:val="0"/>
              <w:spacing w:before="0" w:beforeAutospacing="off" w:after="0" w:afterAutospacing="off"/>
              <w:rPr>
                <w:rFonts w:ascii="Arial" w:hAnsi="Arial" w:eastAsia="Arial" w:cs="Arial"/>
                <w:sz w:val="18"/>
                <w:szCs w:val="18"/>
              </w:rPr>
            </w:pPr>
            <w:r w:rsidRPr="52C55E83" w:rsidR="52C55E83">
              <w:rPr>
                <w:rFonts w:ascii="Arial" w:hAnsi="Arial" w:eastAsia="Arial" w:cs="Arial"/>
                <w:sz w:val="18"/>
                <w:szCs w:val="18"/>
                <w:lang w:val="de-DE"/>
              </w:rPr>
              <w:t>“Darüber hinaus wurde auch ein ausführlicher</w:t>
            </w:r>
          </w:p>
          <w:p w:rsidR="52C55E83" w:rsidP="52C55E83" w:rsidRDefault="52C55E83" w14:paraId="66F71313" w14:textId="613F2503">
            <w:pPr>
              <w:bidi w:val="0"/>
              <w:spacing w:before="0" w:beforeAutospacing="off" w:after="0" w:afterAutospacing="off"/>
              <w:rPr>
                <w:rFonts w:ascii="Arial" w:hAnsi="Arial" w:eastAsia="Arial" w:cs="Arial"/>
                <w:sz w:val="18"/>
                <w:szCs w:val="18"/>
              </w:rPr>
            </w:pPr>
            <w:r w:rsidRPr="52C55E83" w:rsidR="52C55E83">
              <w:rPr>
                <w:rFonts w:ascii="Arial" w:hAnsi="Arial" w:eastAsia="Arial" w:cs="Arial"/>
                <w:sz w:val="18"/>
                <w:szCs w:val="18"/>
                <w:lang w:val="de-DE"/>
              </w:rPr>
              <w:t>und detaillierter Fragebogen speziell für rauchende Patient*innen mit COPD (siehe Abbildung 2) entwickelt, welcher</w:t>
            </w:r>
          </w:p>
          <w:p w:rsidR="52C55E83" w:rsidP="52C55E83" w:rsidRDefault="52C55E83" w14:paraId="42AAE598" w14:textId="2468AFB3">
            <w:pPr>
              <w:bidi w:val="0"/>
              <w:spacing w:before="0" w:beforeAutospacing="off" w:after="0" w:afterAutospacing="off"/>
              <w:rPr>
                <w:rFonts w:ascii="Arial" w:hAnsi="Arial" w:eastAsia="Arial" w:cs="Arial"/>
                <w:sz w:val="18"/>
                <w:szCs w:val="18"/>
              </w:rPr>
            </w:pPr>
            <w:r w:rsidRPr="52C55E83" w:rsidR="52C55E83">
              <w:rPr>
                <w:rFonts w:ascii="Arial" w:hAnsi="Arial" w:eastAsia="Arial" w:cs="Arial"/>
                <w:sz w:val="18"/>
                <w:szCs w:val="18"/>
                <w:lang w:val="de-DE"/>
              </w:rPr>
              <w:t>für eine umfassende Dokumentation herangezogen werden kann.”</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32328C9E" w14:textId="7C23E0A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Section 3.2.1: A detailed questionnaire for smoking patients with COPD can be used for comprehensive documentation.</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1228D279" w14:textId="1B55F82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does not clearly specify who documents which information from the smoking habits questionnaire.</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361F8124" w14:textId="689652C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role allocation was treated as a modelling assumption. The patient completes the smoking questionnaire, while the physician records or completes the documentation of smoking habits.</w:t>
            </w:r>
          </w:p>
        </w:tc>
      </w:tr>
      <w:tr w:rsidR="7F6EF22F" w:rsidTr="52C55E83" w14:paraId="77156800">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17970A77" w14:textId="32ABE5A9">
            <w:pPr>
              <w:bidi w:val="0"/>
              <w:rPr>
                <w:rFonts w:ascii="Arial" w:hAnsi="Arial" w:eastAsia="Arial" w:cs="Arial"/>
                <w:sz w:val="18"/>
                <w:szCs w:val="18"/>
              </w:rPr>
            </w:pPr>
            <w:r w:rsidRPr="52C55E83" w:rsidR="52C55E83">
              <w:rPr>
                <w:rFonts w:ascii="Arial" w:hAnsi="Arial" w:eastAsia="Arial" w:cs="Arial"/>
                <w:sz w:val="18"/>
                <w:szCs w:val="18"/>
                <w:lang w:val="de-DE"/>
              </w:rPr>
              <w:t xml:space="preserve">S. 32: </w:t>
            </w:r>
          </w:p>
          <w:p w:rsidR="52C55E83" w:rsidP="52C55E83" w:rsidRDefault="52C55E83" w14:paraId="208DC42F" w14:textId="73F1CD89">
            <w:pPr>
              <w:bidi w:val="0"/>
              <w:rPr>
                <w:rFonts w:ascii="Arial" w:hAnsi="Arial" w:eastAsia="Arial" w:cs="Arial"/>
                <w:sz w:val="18"/>
                <w:szCs w:val="18"/>
              </w:rPr>
            </w:pPr>
            <w:r w:rsidRPr="52C55E83" w:rsidR="52C55E83">
              <w:rPr>
                <w:rFonts w:ascii="Arial" w:hAnsi="Arial" w:eastAsia="Arial" w:cs="Arial"/>
                <w:sz w:val="18"/>
                <w:szCs w:val="18"/>
                <w:lang w:val="de-DE"/>
              </w:rPr>
              <w:t>„Meist werden die Patient*innen zunächst allgemein auf das Rauchen angesprochen, Risiken werden dargestellt und eine Empfehlung zum vollständigen Rauchstopp ausgesprochen.“</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60E69450" w14:textId="6FF743E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Section 3.2.2: Patients are usually asked about smoking, informed about risks, and advised to stop smoking completely.</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64E8E2C5" w14:textId="0994D87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Figure 3 refers to motivational counselling, while the text describes brief counselling in more detail. It had to be decided whether these should be separate tasks.</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274C894F" w14:textId="6AE8035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actions were modelled as one user task, 'Conduct motivational counselling'. The task includes asking about smoking, risk counselling, and recommending complete smoking cessation.</w:t>
            </w:r>
          </w:p>
        </w:tc>
      </w:tr>
      <w:tr w:rsidR="7F6EF22F" w:rsidTr="52C55E83" w14:paraId="6DF3A6B2">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3756707D" w14:textId="58538756">
            <w:pPr>
              <w:bidi w:val="0"/>
              <w:rPr>
                <w:rFonts w:ascii="Arial" w:hAnsi="Arial" w:eastAsia="Arial" w:cs="Arial"/>
                <w:sz w:val="18"/>
                <w:szCs w:val="18"/>
              </w:rPr>
            </w:pPr>
            <w:r w:rsidRPr="52C55E83" w:rsidR="52C55E83">
              <w:rPr>
                <w:rFonts w:ascii="Arial" w:hAnsi="Arial" w:eastAsia="Arial" w:cs="Arial"/>
                <w:sz w:val="18"/>
                <w:szCs w:val="18"/>
                <w:lang w:val="de-DE"/>
              </w:rPr>
              <w:t xml:space="preserve">S. 32: </w:t>
            </w:r>
          </w:p>
          <w:p w:rsidR="52C55E83" w:rsidP="52C55E83" w:rsidRDefault="52C55E83" w14:paraId="2B65E132" w14:textId="3C75A97C">
            <w:pPr>
              <w:bidi w:val="0"/>
              <w:rPr>
                <w:rFonts w:ascii="Arial" w:hAnsi="Arial" w:eastAsia="Arial" w:cs="Arial"/>
                <w:sz w:val="18"/>
                <w:szCs w:val="18"/>
              </w:rPr>
            </w:pPr>
            <w:r w:rsidRPr="52C55E83" w:rsidR="52C55E83">
              <w:rPr>
                <w:rFonts w:ascii="Arial" w:hAnsi="Arial" w:eastAsia="Arial" w:cs="Arial"/>
                <w:sz w:val="18"/>
                <w:szCs w:val="18"/>
                <w:lang w:val="de-DE"/>
              </w:rPr>
              <w:t>„Motivierende Gesprächsführung ist eine zusätzliche Option bei Raucher*innen [23], deren Motivation, mit dem Rauchen aufzuhören, gering ist.“</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0345AFAF" w14:textId="5570CF7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Section 3.2.2: Motivational interviewing is an additional option for smokers whose motivation to stop smoking is low.</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3C879A2E" w14:textId="32DB8F6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does not define a formal threshold for 'low motivation'. No score, cut-off, or standard question is provided.</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46CC249D" w14:textId="1A606A0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classification of low motivation remains a clinical judgement. Motivational interviewing was modelled as an optional additional step rather than as a mandatory task.</w:t>
            </w:r>
          </w:p>
        </w:tc>
      </w:tr>
      <w:tr w:rsidR="7F6EF22F" w:rsidTr="52C55E83" w14:paraId="75670771">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0D87448A" w14:textId="4E28DD8B">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S. 33:</w:t>
            </w:r>
          </w:p>
          <w:p w:rsidR="52C55E83" w:rsidP="52C55E83" w:rsidRDefault="52C55E83" w14:paraId="263CCB7F" w14:textId="141D5A86">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 „Eine Therapie zur Tabakentwöhnung soll sowohl zur Tabakentwöhnung motivierten rauchenden Patientinnen mit COPD, als auch Patientinnen ohne Entwöhnungswunsch angeboten werden.“</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0B4AB768" w14:textId="37EEBE7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Section 3.2.3: Smoking cessation therapy should be offered both to motivated smoking patients with COPD and to patients without a wish to stop smoking.</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720ED7B2" w14:textId="2F161AB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Consent is shown in the algorithm, but no formal consent documentation is specified. The loop-back logic had to be represented in BPMN.</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0288FAF2" w14:textId="6531F8C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task 'Offer smoking cessation therapy' was placed after counselling for all smoking patients with COPD. After an unsuccessful attempt, the same task is reused as a renewed therapy offer.</w:t>
            </w:r>
          </w:p>
        </w:tc>
      </w:tr>
      <w:tr w:rsidR="7F6EF22F" w:rsidTr="52C55E83" w14:paraId="2F5022F4">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5B68C04E" w14:textId="41459706">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Abbildung 3, S. 31: </w:t>
            </w:r>
          </w:p>
          <w:p w:rsidR="52C55E83" w:rsidP="52C55E83" w:rsidRDefault="52C55E83" w14:paraId="4FC289C7" w14:textId="740FA5C4">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„Einverständnis der Patient*innen“</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53D024E7" w14:textId="6BBB4B7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Figure 3: 'Patient consent.'</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79F79B58" w14:textId="7DF2BD0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mentions consent but does not specify a formal consent document or a later recall process when consent is missing.</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2526CDD2" w14:textId="2EA0130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Consent was modelled with an exclusive gateway, 'Consent to therapy?'. If consent is given, the patient proceeds to therapy. If consent is not given, the process loops back to documentation and later counselling.</w:t>
            </w:r>
          </w:p>
        </w:tc>
      </w:tr>
      <w:tr w:rsidR="7F6EF22F" w:rsidTr="52C55E83" w14:paraId="023DA6EB">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2B1928B7" w14:textId="66FAB192">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Abbildung 3, S. 31: </w:t>
            </w:r>
          </w:p>
          <w:p w:rsidR="52C55E83" w:rsidP="52C55E83" w:rsidRDefault="52C55E83" w14:paraId="1C4BF919" w14:textId="466F9D19">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„Planung und Einleitung einer (erneuten) kombinierten Tabakentwöhnungsmaßnahme (verhaltenstherapeutisch und medikamentös)“</w:t>
            </w:r>
          </w:p>
          <w:p w:rsidR="52C55E83" w:rsidP="52C55E83" w:rsidRDefault="52C55E83" w14:paraId="19701AE4" w14:textId="02734CA8">
            <w:pPr>
              <w:bidi w:val="0"/>
              <w:rPr>
                <w:rFonts w:ascii="Arial" w:hAnsi="Arial" w:eastAsia="Arial" w:cs="Arial"/>
                <w:color w:val="000000" w:themeColor="text1" w:themeTint="FF" w:themeShade="FF"/>
                <w:sz w:val="18"/>
                <w:szCs w:val="18"/>
              </w:rPr>
            </w:pPr>
          </w:p>
          <w:p w:rsidR="52C55E83" w:rsidP="52C55E83" w:rsidRDefault="52C55E83" w14:paraId="776E3BBC" w14:textId="155EDDD4">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S. 33  3.2.3: </w:t>
            </w:r>
          </w:p>
          <w:p w:rsidR="52C55E83" w:rsidP="52C55E83" w:rsidRDefault="52C55E83" w14:paraId="3FC55FEF" w14:textId="6B728028">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Bei entwöhnungsbereiten Patient*innen mit COPD soll eine kombinierte Therapie </w:t>
            </w:r>
          </w:p>
          <w:p w:rsidR="52C55E83" w:rsidP="52C55E83" w:rsidRDefault="52C55E83" w14:paraId="4EF9F92B" w14:textId="190517D6">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 </w:t>
            </w:r>
          </w:p>
          <w:p w:rsidR="52C55E83" w:rsidP="52C55E83" w:rsidRDefault="52C55E83" w14:paraId="12C17784" w14:textId="3ADF9575">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mit Verhaltenstherapie und medikamentöser Entzugssyndrombehandlungnachdrücklich empfohlen und angeboten werden.</w:t>
            </w:r>
          </w:p>
          <w:p w:rsidR="52C55E83" w:rsidP="52C55E83" w:rsidRDefault="52C55E83" w14:paraId="2C576A8C" w14:textId="299645DD">
            <w:pPr>
              <w:bidi w:val="0"/>
              <w:rPr>
                <w:rFonts w:ascii="Arial" w:hAnsi="Arial" w:eastAsia="Arial" w:cs="Arial"/>
                <w:color w:val="000000" w:themeColor="text1" w:themeTint="FF" w:themeShade="FF"/>
                <w:sz w:val="18"/>
                <w:szCs w:val="18"/>
              </w:rPr>
            </w:pP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050125DE" w14:textId="3C6521A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Figure 3 and Section 3.2.3: Planning and initiation of a combined smoking cessation intervention; combined behavioural and pharmacological treatment is strongly recommended.</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66089AF9" w14:textId="1E3B87B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does not specify the detailed internal process steps of behavioural therapy or pharmacological withdrawal treatment in this section.</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32F05D7F" w14:textId="3028BFC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intervention was modelled as a collapsed sub-process, 'Start combined cessation therapy'. The detailed content is documented as combined behavioural and pharmacological smoking cessation, but not expanded in the main BPMN model.</w:t>
            </w:r>
          </w:p>
        </w:tc>
      </w:tr>
      <w:tr w:rsidR="7F6EF22F" w:rsidTr="52C55E83" w14:paraId="4C7170E8">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27212BB8" w14:textId="0B09C3F5">
            <w:pPr>
              <w:bidi w:val="0"/>
              <w:rPr>
                <w:rFonts w:ascii="Arial" w:hAnsi="Arial" w:eastAsia="Arial" w:cs="Arial"/>
                <w:sz w:val="18"/>
                <w:szCs w:val="18"/>
              </w:rPr>
            </w:pPr>
            <w:r w:rsidRPr="52C55E83" w:rsidR="52C55E83">
              <w:rPr>
                <w:rFonts w:ascii="Arial" w:hAnsi="Arial" w:eastAsia="Arial" w:cs="Arial"/>
                <w:sz w:val="18"/>
                <w:szCs w:val="18"/>
                <w:lang w:val="de-DE"/>
              </w:rPr>
              <w:t xml:space="preserve">S. 33: </w:t>
            </w:r>
          </w:p>
          <w:p w:rsidR="52C55E83" w:rsidP="52C55E83" w:rsidRDefault="52C55E83" w14:paraId="22691EBA" w14:textId="50AEFE13">
            <w:pPr>
              <w:bidi w:val="0"/>
              <w:rPr>
                <w:rFonts w:ascii="Arial" w:hAnsi="Arial" w:eastAsia="Arial" w:cs="Arial"/>
                <w:sz w:val="18"/>
                <w:szCs w:val="18"/>
              </w:rPr>
            </w:pPr>
            <w:r w:rsidRPr="52C55E83" w:rsidR="52C55E83">
              <w:rPr>
                <w:rFonts w:ascii="Arial" w:hAnsi="Arial" w:eastAsia="Arial" w:cs="Arial"/>
                <w:sz w:val="18"/>
                <w:szCs w:val="18"/>
                <w:lang w:val="de-DE"/>
              </w:rPr>
              <w:t>„Als primärer Endpunkt wurde der prozentuale Anteil der Teilnehmer*innen erfasst, welcher dauerhaft oder über einen längeren Zeitraum (≥ 6 Monate) abstinent war.“</w:t>
            </w:r>
          </w:p>
          <w:p w:rsidR="52C55E83" w:rsidP="52C55E83" w:rsidRDefault="52C55E83" w14:paraId="104DACD4" w14:textId="3E33F26A">
            <w:pPr>
              <w:bidi w:val="0"/>
              <w:rPr>
                <w:rFonts w:ascii="Arial" w:hAnsi="Arial" w:eastAsia="Arial" w:cs="Arial"/>
                <w:sz w:val="18"/>
                <w:szCs w:val="18"/>
              </w:rPr>
            </w:pPr>
          </w:p>
          <w:p w:rsidR="52C55E83" w:rsidP="52C55E83" w:rsidRDefault="52C55E83" w14:paraId="4694B0E4" w14:textId="12FCFCB9">
            <w:pPr>
              <w:bidi w:val="0"/>
              <w:rPr>
                <w:rFonts w:ascii="Arial" w:hAnsi="Arial" w:eastAsia="Arial" w:cs="Arial"/>
                <w:sz w:val="18"/>
                <w:szCs w:val="18"/>
              </w:rPr>
            </w:pPr>
            <w:r w:rsidRPr="52C55E83" w:rsidR="52C55E83">
              <w:rPr>
                <w:rFonts w:ascii="Arial" w:hAnsi="Arial" w:eastAsia="Arial" w:cs="Arial"/>
                <w:sz w:val="18"/>
                <w:szCs w:val="18"/>
                <w:lang w:val="de-DE"/>
              </w:rPr>
              <w:t xml:space="preserve">S. 33  </w:t>
            </w:r>
          </w:p>
          <w:p w:rsidR="52C55E83" w:rsidP="52C55E83" w:rsidRDefault="52C55E83" w14:paraId="6C910DAE" w14:textId="1EEDCC6D">
            <w:pPr>
              <w:bidi w:val="0"/>
              <w:rPr>
                <w:rFonts w:ascii="Arial" w:hAnsi="Arial" w:eastAsia="Arial" w:cs="Arial"/>
                <w:sz w:val="18"/>
                <w:szCs w:val="18"/>
              </w:rPr>
            </w:pPr>
            <w:r w:rsidRPr="52C55E83" w:rsidR="52C55E83">
              <w:rPr>
                <w:rFonts w:ascii="Arial" w:hAnsi="Arial" w:eastAsia="Arial" w:cs="Arial"/>
                <w:sz w:val="18"/>
                <w:szCs w:val="18"/>
                <w:lang w:val="de-DE"/>
              </w:rPr>
              <w:t xml:space="preserve">“Wurde eine verhaltenstherapeutische Intervention mit einer üblichen medizinischen Versorgung (UsualCare) ver- </w:t>
            </w:r>
          </w:p>
          <w:p w:rsidR="52C55E83" w:rsidP="52C55E83" w:rsidRDefault="52C55E83" w14:paraId="0A30B69B" w14:textId="50771991">
            <w:pPr>
              <w:bidi w:val="0"/>
              <w:rPr>
                <w:rFonts w:ascii="Arial" w:hAnsi="Arial" w:eastAsia="Arial" w:cs="Arial"/>
                <w:sz w:val="18"/>
                <w:szCs w:val="18"/>
              </w:rPr>
            </w:pPr>
            <w:r w:rsidRPr="52C55E83" w:rsidR="52C55E83">
              <w:rPr>
                <w:rFonts w:ascii="Arial" w:hAnsi="Arial" w:eastAsia="Arial" w:cs="Arial"/>
                <w:sz w:val="18"/>
                <w:szCs w:val="18"/>
                <w:lang w:val="de-DE"/>
              </w:rPr>
              <w:t>glichen, so zeigte sich eine prolongierte Abstinenz nach 6 Monaten zu Gunsten der Verhaltenstherapie”</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589FE446" w14:textId="4533307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Section 3.2.3: The evidence describes prolonged abstinence over 6 months as an outcome.</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73B0C18E" w14:textId="35B70BE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6-month period refers to an evidence endpoint, not necessarily to a mandatory process timer in the algorithm.</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11D49ACA" w14:textId="7A7300E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timer was modelled more neutrally as 'After follow-up period' instead of a fixed 6-month BPMN timer.</w:t>
            </w:r>
          </w:p>
        </w:tc>
      </w:tr>
      <w:tr w:rsidR="7F6EF22F" w:rsidTr="52C55E83" w14:paraId="4D0EC589">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6F289D69" w14:textId="1F8BBFD6">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Abbildung 3, S. 31: </w:t>
            </w:r>
          </w:p>
          <w:p w:rsidR="52C55E83" w:rsidP="52C55E83" w:rsidRDefault="52C55E83" w14:paraId="35B2FEEA" w14:textId="17FF7A68">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„War die Entwöhnungsmaßnahme erfolgreich?“</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3912F8A2" w14:textId="346E55A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Figure 3: 'Was the cessation intervention successful?'</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727C4C0E" w14:textId="3935FFD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asks whether the intervention was successful, but does not operationalise the measurement method.</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0468C56A" w14:textId="7AB93BB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task was labelled 'Assess cessation success'. This is more neutral than 'Verify abstinence success' because the guideline does not specify a concrete verification method.</w:t>
            </w:r>
          </w:p>
        </w:tc>
      </w:tr>
      <w:tr w:rsidR="7F6EF22F" w:rsidTr="52C55E83" w14:paraId="02AF9A02">
        <w:trPr>
          <w:trHeight w:val="300"/>
        </w:trPr>
        <w:tc>
          <w:tcPr>
            <w:tcW w:w="1942" w:type="dxa"/>
            <w:tcBorders>
              <w:top w:val="single" w:sz="8"/>
              <w:left w:val="single" w:sz="8"/>
              <w:bottom w:val="single" w:sz="8"/>
              <w:right w:val="single" w:sz="8"/>
            </w:tcBorders>
            <w:tcMar>
              <w:left w:w="108" w:type="dxa"/>
              <w:right w:w="108" w:type="dxa"/>
            </w:tcMar>
            <w:vAlign w:val="top"/>
          </w:tcPr>
          <w:p w:rsidR="52C55E83" w:rsidP="52C55E83" w:rsidRDefault="52C55E83" w14:paraId="7FEEB464" w14:textId="3767B1A2">
            <w:pPr>
              <w:bidi w:val="0"/>
              <w:rPr>
                <w:rFonts w:ascii="Arial" w:hAnsi="Arial" w:eastAsia="Arial" w:cs="Arial"/>
                <w:sz w:val="18"/>
                <w:szCs w:val="18"/>
              </w:rPr>
            </w:pPr>
            <w:r w:rsidRPr="52C55E83" w:rsidR="52C55E83">
              <w:rPr>
                <w:rFonts w:ascii="Arial" w:hAnsi="Arial" w:eastAsia="Arial" w:cs="Arial"/>
                <w:sz w:val="18"/>
                <w:szCs w:val="18"/>
                <w:lang w:val="de-DE"/>
              </w:rPr>
              <w:t xml:space="preserve">Abbildung 3, S. 31: </w:t>
            </w:r>
          </w:p>
          <w:p w:rsidR="52C55E83" w:rsidP="52C55E83" w:rsidRDefault="52C55E83" w14:paraId="0BDDEB66" w14:textId="66969763">
            <w:pPr>
              <w:bidi w:val="0"/>
              <w:rPr>
                <w:rFonts w:ascii="Arial" w:hAnsi="Arial" w:eastAsia="Arial" w:cs="Arial"/>
                <w:sz w:val="18"/>
                <w:szCs w:val="18"/>
              </w:rPr>
            </w:pPr>
            <w:r w:rsidRPr="52C55E83" w:rsidR="52C55E83">
              <w:rPr>
                <w:rFonts w:ascii="Arial" w:hAnsi="Arial" w:eastAsia="Arial" w:cs="Arial"/>
                <w:sz w:val="18"/>
                <w:szCs w:val="18"/>
                <w:lang w:val="de-DE"/>
              </w:rPr>
              <w:t>„Dokumentation“ und „Keine weiteren Entwöhnungsmaßnahmen“</w:t>
            </w:r>
          </w:p>
        </w:tc>
        <w:tc>
          <w:tcPr>
            <w:tcW w:w="1942" w:type="dxa"/>
            <w:tcBorders>
              <w:top w:val="single" w:sz="8"/>
              <w:left w:val="single" w:sz="8"/>
              <w:bottom w:val="single" w:sz="8"/>
              <w:right w:val="single" w:sz="8"/>
            </w:tcBorders>
            <w:tcMar>
              <w:left w:w="108" w:type="dxa"/>
              <w:right w:w="108" w:type="dxa"/>
            </w:tcMar>
            <w:vAlign w:val="top"/>
          </w:tcPr>
          <w:p w:rsidR="7F6EF22F" w:rsidP="51862C77" w:rsidRDefault="7F6EF22F" w14:paraId="691BC4FE" w14:textId="0F48CC6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Figure 3: 'Documentation' and 'No further cessation measures'.</w:t>
            </w:r>
          </w:p>
        </w:tc>
        <w:tc>
          <w:tcPr>
            <w:tcW w:w="2446" w:type="dxa"/>
            <w:tcBorders>
              <w:top w:val="single" w:sz="8"/>
              <w:left w:val="single" w:sz="8"/>
              <w:bottom w:val="single" w:sz="8"/>
              <w:right w:val="single" w:sz="8"/>
            </w:tcBorders>
            <w:tcMar>
              <w:left w:w="108" w:type="dxa"/>
              <w:right w:w="108" w:type="dxa"/>
            </w:tcMar>
            <w:vAlign w:val="top"/>
          </w:tcPr>
          <w:p w:rsidR="7F6EF22F" w:rsidP="51862C77" w:rsidRDefault="7F6EF22F" w14:paraId="2B03670B" w14:textId="732CE90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shows an end state after successful cessation and a loop after unsuccessful cessation, but gives no detailed repetition or stopping rules.</w:t>
            </w:r>
          </w:p>
        </w:tc>
        <w:tc>
          <w:tcPr>
            <w:tcW w:w="2685" w:type="dxa"/>
            <w:tcBorders>
              <w:top w:val="single" w:sz="8"/>
              <w:left w:val="single" w:sz="8"/>
              <w:bottom w:val="single" w:sz="8"/>
              <w:right w:val="single" w:sz="8"/>
            </w:tcBorders>
            <w:tcMar>
              <w:left w:w="108" w:type="dxa"/>
              <w:right w:w="108" w:type="dxa"/>
            </w:tcMar>
            <w:vAlign w:val="top"/>
          </w:tcPr>
          <w:p w:rsidR="7F6EF22F" w:rsidP="51862C77" w:rsidRDefault="7F6EF22F" w14:paraId="5ED7F3DB" w14:textId="11C4873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successful path ends with documentation and the end event 'Smoking cessation successful / no further cessation measures required'. The unsuccessful path loops back to counselling and renewed therapy offer.</w:t>
            </w:r>
          </w:p>
        </w:tc>
      </w:tr>
    </w:tbl>
    <w:p w:rsidR="7F6EF22F" w:rsidP="51862C77" w:rsidRDefault="7F6EF22F" w14:paraId="48E52A63" w14:textId="6A7160C4">
      <w:pPr>
        <w:pStyle w:val="Normal"/>
        <w:bidi w:val="0"/>
        <w:spacing w:line="240" w:lineRule="auto"/>
      </w:pPr>
    </w:p>
    <w:p w:rsidR="6E3B7668" w:rsidP="51862C77" w:rsidRDefault="6E3B7668" w14:paraId="7962653E" w14:textId="315C4B1B">
      <w:pPr>
        <w:spacing w:before="120" w:beforeAutospacing="off" w:after="60" w:afterAutospacing="off" w:line="240" w:lineRule="auto"/>
        <w:rPr>
          <w:rFonts w:ascii="Arial" w:hAnsi="Arial" w:eastAsia="Arial" w:cs="Arial"/>
          <w:b w:val="1"/>
          <w:bCs w:val="1"/>
          <w:noProof w:val="0"/>
          <w:color w:val="000000" w:themeColor="text1" w:themeTint="FF" w:themeShade="FF"/>
          <w:sz w:val="20"/>
          <w:szCs w:val="20"/>
          <w:lang w:val="en-US"/>
        </w:rPr>
      </w:pPr>
      <w:r w:rsidRPr="51862C77" w:rsidR="5B860951">
        <w:rPr>
          <w:rFonts w:ascii="Arial" w:hAnsi="Arial" w:eastAsia="Arial" w:cs="Arial"/>
          <w:b w:val="1"/>
          <w:bCs w:val="1"/>
          <w:noProof w:val="0"/>
          <w:color w:val="000000" w:themeColor="text1" w:themeTint="FF" w:themeShade="FF"/>
          <w:sz w:val="20"/>
          <w:szCs w:val="20"/>
          <w:lang w:val="en-US"/>
        </w:rPr>
        <w:t>Table S2a-2. DMN elements and rules for NVL COPD Section 3.2.</w:t>
      </w:r>
    </w:p>
    <w:tbl>
      <w:tblPr>
        <w:tblStyle w:val="TableGrid"/>
        <w:bidiVisual w:val="0"/>
        <w:tblW w:w="9015" w:type="dxa"/>
        <w:tblLook w:val="06A0" w:firstRow="1" w:lastRow="0" w:firstColumn="1" w:lastColumn="0" w:noHBand="1" w:noVBand="1"/>
      </w:tblPr>
      <w:tblGrid>
        <w:gridCol w:w="960"/>
        <w:gridCol w:w="1635"/>
        <w:gridCol w:w="1695"/>
        <w:gridCol w:w="1620"/>
        <w:gridCol w:w="1575"/>
        <w:gridCol w:w="1530"/>
      </w:tblGrid>
      <w:tr w:rsidR="7F6EF22F" w:rsidTr="52C55E83" w14:paraId="7743363E">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1CBA1721" w14:textId="78FD8C40">
            <w:pPr>
              <w:spacing w:before="0" w:beforeAutospacing="off" w:after="0" w:afterAutospacing="off" w:line="240" w:lineRule="auto"/>
              <w:jc w:val="left"/>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DMN element</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23B02BB8" w14:textId="1C94C884">
            <w:pPr>
              <w:spacing w:before="0" w:beforeAutospacing="off" w:after="0" w:afterAutospacing="off" w:line="240" w:lineRule="auto"/>
              <w:jc w:val="left"/>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Variable / condition</w:t>
            </w:r>
          </w:p>
        </w:tc>
        <w:tc>
          <w:tcPr>
            <w:tcW w:w="1695" w:type="dxa"/>
            <w:tcBorders>
              <w:top w:val="single" w:sz="8"/>
              <w:left w:val="single" w:sz="8"/>
              <w:bottom w:val="single" w:sz="8"/>
              <w:right w:val="single" w:sz="8"/>
            </w:tcBorders>
            <w:tcMar>
              <w:left w:w="108" w:type="dxa"/>
              <w:right w:w="108" w:type="dxa"/>
            </w:tcMar>
            <w:vAlign w:val="top"/>
          </w:tcPr>
          <w:p w:rsidR="7F6EF22F" w:rsidP="51862C77" w:rsidRDefault="7F6EF22F" w14:paraId="66778E60" w14:textId="3B2D6E4E">
            <w:pPr>
              <w:spacing w:before="0" w:beforeAutospacing="off" w:after="0" w:afterAutospacing="off" w:line="240" w:lineRule="auto"/>
              <w:jc w:val="left"/>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Output</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5AD6A76E" w14:textId="4E9BD58E">
            <w:pPr>
              <w:spacing w:before="0" w:beforeAutospacing="off" w:after="0" w:afterAutospacing="off" w:line="240" w:lineRule="auto"/>
              <w:jc w:val="left"/>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Evidence from NVL COPD</w:t>
            </w:r>
          </w:p>
        </w:tc>
        <w:tc>
          <w:tcPr>
            <w:tcW w:w="1575" w:type="dxa"/>
            <w:tcBorders>
              <w:top w:val="single" w:sz="8"/>
              <w:left w:val="single" w:sz="8"/>
              <w:bottom w:val="single" w:sz="8"/>
              <w:right w:val="single" w:sz="8"/>
            </w:tcBorders>
            <w:tcMar>
              <w:left w:w="108" w:type="dxa"/>
              <w:right w:w="108" w:type="dxa"/>
            </w:tcMar>
            <w:vAlign w:val="top"/>
          </w:tcPr>
          <w:p w:rsidR="0FA8E648" w:rsidP="52C55E83" w:rsidRDefault="0FA8E648" w14:paraId="360A72CF" w14:textId="337ABC15">
            <w:pPr>
              <w:pStyle w:val="Normal"/>
              <w:bidi w:val="0"/>
              <w:spacing w:line="240" w:lineRule="auto"/>
              <w:jc w:val="left"/>
              <w:rPr>
                <w:rFonts w:ascii="Arial" w:hAnsi="Arial" w:eastAsia="Arial" w:cs="Arial"/>
                <w:b w:val="1"/>
                <w:bCs w:val="1"/>
                <w:sz w:val="18"/>
                <w:szCs w:val="18"/>
                <w:lang w:val="en-US"/>
              </w:rPr>
            </w:pPr>
            <w:r w:rsidRPr="52C55E83" w:rsidR="0FA8E648">
              <w:rPr>
                <w:rFonts w:ascii="Arial" w:hAnsi="Arial" w:eastAsia="Arial" w:cs="Arial"/>
                <w:b w:val="1"/>
                <w:bCs w:val="1"/>
                <w:sz w:val="18"/>
                <w:szCs w:val="18"/>
                <w:lang w:val="en-US"/>
              </w:rPr>
              <w:t>Original quote</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4FA9D350" w14:textId="3A300C1A">
            <w:pPr>
              <w:spacing w:before="0" w:beforeAutospacing="off" w:after="0" w:afterAutospacing="off" w:line="240" w:lineRule="auto"/>
              <w:jc w:val="left"/>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 xml:space="preserve">BPMN reference </w:t>
            </w:r>
          </w:p>
        </w:tc>
      </w:tr>
      <w:tr w:rsidR="7F6EF22F" w:rsidTr="52C55E83" w14:paraId="195031FB">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2061F8CA" w14:textId="3CF2B35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5D45A8DA" w14:textId="347E020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motivation_level = 'low' or 'high'</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7502CAC2" w14:textId="6465F3C1">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29D38806" w14:textId="1837429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Motivational interviewing is an option for smokers with low motivation.</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54EA0D1E" w14:textId="4198068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Motivierende Gesprächsführung ist eine zusätzliche Option bei Raucher*innen, deren Motivation, mit dem Rauchen aufzuhören, gering ist. [...] Die Rauchenden entwickeln im gemeinsamen Gespräch durch wertfreie Abwägung der Vor- und Nachteile eine zunehmende Änderungsmotivation. (Kap. 3.2.2)</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7A82DB3F" w14:textId="1D1949C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variable feeds the BPMN gateway 'Motivation low?' and the related business rule logic.</w:t>
            </w:r>
          </w:p>
        </w:tc>
      </w:tr>
      <w:tr w:rsidR="7F6EF22F" w:rsidTr="52C55E83" w14:paraId="4F227EAE">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6CD7DF2B" w14:textId="63EEADB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7C69BE41" w14:textId="2DDB075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consent_to_therapy = true/false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20BDEC02" w14:textId="0932167F">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6EA02EFE" w14:textId="4746372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Smoking cessation therapy should be offered, but therapy requires patient consent.</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26FF7A58" w14:textId="1B908490">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Eine Therapie zur Tabakentwöhnung soll Patient*innen ohne Entwöhnungswunsch angeboten werden. Das Angebot darf nicht zur Folge haben, nicht aufhörbereite Patient*innen zu stigmatisieren. (Empfehlung 3-3, Kap. 3.2.3)</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6700C6F0" w14:textId="32B58AB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variable corresponds to the BPMN gateway 'Consent to therapy?'.</w:t>
            </w:r>
          </w:p>
        </w:tc>
      </w:tr>
      <w:tr w:rsidR="7F6EF22F" w:rsidTr="52C55E83" w14:paraId="195DE701">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7D00D465" w14:textId="7853312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0FC13F3F" w14:textId="77B7A07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intensive_cbt_feasible = true/false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024E57F9" w14:textId="768651B6">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28F77DA2" w14:textId="65C4617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Intensive behavioural interventions may not be available everywhere; lower-intensity evidence-based offers should then be used.</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3835432A" w14:textId="62AB8411">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Intensive verhaltenstherapeutisch-orientierte Interventionen sind im deutschen Versorgungskontext nicht flächendeckend verfügbar. In diesen Fällen sollen direkt andere evidenzbasierte Beratungs- und Unterstützungsangebote angeboten werden. (Kap. 3.2.3, Empfehlung 3-5)</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464AE842" w14:textId="21EE483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variable supports routing to lower-intensity alternatives. A data object or service task can be added to check availability.</w:t>
            </w:r>
          </w:p>
        </w:tc>
      </w:tr>
      <w:tr w:rsidR="7F6EF22F" w:rsidTr="52C55E83" w14:paraId="3F0BC5FB">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56FDB02B" w14:textId="6016423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2212804F" w14:textId="12D6E61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prior_cessation_attempt = true/false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314AC393" w14:textId="4E07EF8E">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581420C0" w14:textId="21E57D0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allows renewed planning and initiation of combined smoking cessation after a failed attempt.</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10BD2E8D" w14:textId="29A33061">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War die Entwöhnungsmaßnahme erfolgreich? [...] Planung und Einleitung einer (erneuten) kombinierten Tabakentwöhnungsmaßnahme (verhaltenstherapeutisch und medikamentös). (Algorithmus Abb. 3, Empfehlung 3-2)</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2614011B" w14:textId="3700DC7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variable is set to true when the process re-enters after unsuccessful cessation.</w:t>
            </w:r>
          </w:p>
        </w:tc>
      </w:tr>
      <w:tr w:rsidR="7F6EF22F" w:rsidTr="52C55E83" w14:paraId="24A17FA8">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449157A9" w14:textId="3BBFA11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Output</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7083BD3C" w14:textId="3DFBDA1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intervention</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26B37CFC" w14:textId="01C83486">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Recommended cessation intervention</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11AE305A" w14:textId="00F6524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Combined behavioural and pharmacological treatment is the preferred intervention for motivated patients with COPD.</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658BF1EB" w14:textId="1CE02F3B">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Kombination aus verhaltenstherapeutischen Maßnahmen und pharmakologischen Verfahren: verlängerte Abstinenz nach 6–12 Monaten (RR 2,53; 4 RCTs, n=1429, Evidenzqualität hoch). (Empfehlung 3-4)</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4BA352A4" w14:textId="4D3C1EF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output determines the subsequent BPMN path after the business rule task.</w:t>
            </w:r>
          </w:p>
        </w:tc>
      </w:tr>
      <w:tr w:rsidR="7F6EF22F" w:rsidTr="52C55E83" w14:paraId="5C4969D9">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08904C2C" w14:textId="48A81A3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Output</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1C0FB233" w14:textId="2163AD9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recommendation_grade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5E550FB3" w14:textId="7D50EBB8">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Recommendation strength</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7E29BA7A" w14:textId="23C46D8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combined therapy has a strong recommendation; behavioural single or group interventions are also recommended.</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6140A2F1" w14:textId="6E4D0D2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Empfehlungsgrad ⇑⇑ (starke Empfehlung) für kombinierte Therapie; ⇑ für verhaltenstherapeutische Einzel-/Gruppenintervention. Basiert auf Cochrane-Review (van Eerd et al.) und systematischer Update-Recherche. (Empfehlung 3-4, 3-5)</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63ACE712" w14:textId="16F7F6C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is an informational output for documentation or audit purposes.</w:t>
            </w:r>
          </w:p>
        </w:tc>
      </w:tr>
      <w:tr w:rsidR="7F6EF22F" w:rsidTr="52C55E83" w14:paraId="2B818457">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4DBF2029" w14:textId="4C56A73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 1</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26E9AD9E" w14:textId="5CA9D18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consent_to_therapy = false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35CB54B8" w14:textId="52152BED">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No therapy initiated</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5493F8E0" w14:textId="7858F92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Therapy cannot proceed without consent.</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26CE3FED" w14:textId="2FEDC047">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Einverständnis der Patient*innen [nein] → keine weiteren Maßnahmen. Die Empfehlung und Empfehlungsstärke beziehen sich ausschließlich auf das Angebot der Therapie. (Algorithmus Abb. 3, Empfehlung 3-3)</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24ACFA66" w14:textId="4B710E7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no-branch of the consent gateway loops back to documentation and possible later counselling.</w:t>
            </w:r>
          </w:p>
        </w:tc>
      </w:tr>
      <w:tr w:rsidR="7F6EF22F" w:rsidTr="52C55E83" w14:paraId="329FACFD">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6419F30F" w14:textId="2EFF251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 2</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0D03046C" w14:textId="36D52CE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motivation_level = 'low' AND consent_to_therapy = true AND prior_cessation_attempt = false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3EA9B7FD" w14:textId="6F8E4F68">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Motivational interviewing + offer therapy</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70CE0866" w14:textId="41659DC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Low motivation triggers motivational interviewing as a supportive first-contact option.</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437C53AB" w14:textId="40F59D78">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Motivierende Gesprächsführung: Ziel ist der Aufbau intrinsischer Motivation zur Verhaltensänderung. [...] Die Rauchenden werden nicht von außen zum Rauchstopp motiviert oder gedrängt. (Kap. 3.2.2)</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1C9AB84C" w14:textId="309F62D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BPMN model routes through 'Conduct motivational interviewing' and then re-offers therapy.</w:t>
            </w:r>
          </w:p>
        </w:tc>
      </w:tr>
      <w:tr w:rsidR="7F6EF22F" w:rsidTr="52C55E83" w14:paraId="1C386754">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30CD50DB" w14:textId="4A163E7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 3</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4B208FBF" w14:textId="2F8E584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motivation_level = 'low' AND consent_to_therapy = true AND prior_cessation_attempt = true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1C290340" w14:textId="1F4693F8">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Motivational interviewing + renew therapy offer</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223298D0" w14:textId="401E724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After a failed cessation attempt, motivational support and a renewed offer are modelled.</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5F3BFC9B" w14:textId="77013828">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Planung und Einleitung einer erneuten kombinierten Tabakentwöhnungsmaßnahme [...] nach gescheitertem Versuch. (Algorithmus Abb. 3)</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27054752" w14:textId="3F3C359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re-entry path from 'Cessation successful? = No' sets prior_cessation_attempt to true.</w:t>
            </w:r>
          </w:p>
        </w:tc>
      </w:tr>
      <w:tr w:rsidR="7F6EF22F" w:rsidTr="52C55E83" w14:paraId="6939878C">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4038A999" w14:textId="2120C3B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 4</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7106F42C" w14:textId="2566B4D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motivation_level = 'high' AND consent_to_therapy = true AND intensive_cbt_feasible = true AND prior_cessation_attempt = false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587FCC9C" w14:textId="65A90BF1">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Combined therapy</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57E3E25D" w14:textId="26F8123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For cessation-ready patients, combined behavioural and pharmacological therapy is strongly recommended.</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4FB5B982" w14:textId="39BEC28F">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entwöhnungsbereiten Patient*innen mit COPD soll eine kombinierte Therapie mit Verhaltenstherapie und medikamentöser Entzugssyndrombehandlungnachdrücklich empfohlen werden. (Empfehlung 3-4, ⇑⇑)</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1C146C02" w14:textId="3940CDB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maps to the collapsed sub-process 'Start combined cessation therapy'.</w:t>
            </w:r>
          </w:p>
        </w:tc>
      </w:tr>
      <w:tr w:rsidR="7F6EF22F" w:rsidTr="52C55E83" w14:paraId="46F9AFBB">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55E3A4D8" w14:textId="23E2D48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 5</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046BD29E" w14:textId="2A357AB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motivation_level = 'high' AND consent_to_therapy = true AND intensive_cbt_feasible = true AND prior_cessation_attempt = true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119C7909" w14:textId="306255A9">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Repeat combined therapy</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370B9A8C" w14:textId="1201BBF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allows renewed combined treatment after an unsuccessful attempt.</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1D883604" w14:textId="4471CDE6">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Planung und Einleitung einer erneuten kombinierten Tabakentwöhnungsmaßnahme (verhaltenstherapeutisch und medikamentös). (Empfehlung 3-2, Algorithmus Abb. 3)</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3FA95E44" w14:textId="5615406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reuses the same BPMN sub-process, with prior_cessation_attempt set to true.</w:t>
            </w:r>
          </w:p>
        </w:tc>
      </w:tr>
      <w:tr w:rsidR="7F6EF22F" w:rsidTr="52C55E83" w14:paraId="17DD7C04">
        <w:trPr>
          <w:trHeight w:val="300"/>
        </w:trPr>
        <w:tc>
          <w:tcPr>
            <w:tcW w:w="960" w:type="dxa"/>
            <w:tcBorders>
              <w:top w:val="single" w:sz="8"/>
              <w:left w:val="single" w:sz="8"/>
              <w:bottom w:val="single" w:sz="8"/>
              <w:right w:val="single" w:sz="8"/>
            </w:tcBorders>
            <w:tcMar>
              <w:left w:w="108" w:type="dxa"/>
              <w:right w:w="108" w:type="dxa"/>
            </w:tcMar>
            <w:vAlign w:val="top"/>
          </w:tcPr>
          <w:p w:rsidR="7F6EF22F" w:rsidP="51862C77" w:rsidRDefault="7F6EF22F" w14:paraId="7F39FE66" w14:textId="20777F7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 6</w:t>
            </w:r>
          </w:p>
        </w:tc>
        <w:tc>
          <w:tcPr>
            <w:tcW w:w="1635" w:type="dxa"/>
            <w:tcBorders>
              <w:top w:val="single" w:sz="8"/>
              <w:left w:val="single" w:sz="8"/>
              <w:bottom w:val="single" w:sz="8"/>
              <w:right w:val="single" w:sz="8"/>
            </w:tcBorders>
            <w:tcMar>
              <w:left w:w="108" w:type="dxa"/>
              <w:right w:w="108" w:type="dxa"/>
            </w:tcMar>
            <w:vAlign w:val="top"/>
          </w:tcPr>
          <w:p w:rsidR="7F6EF22F" w:rsidP="51862C77" w:rsidRDefault="7F6EF22F" w14:paraId="211825C5" w14:textId="40D2FD7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motivation_level = 'high' AND consent_to_therapy = true AND intensive_cbt_feasible = false</w:t>
            </w:r>
          </w:p>
        </w:tc>
        <w:tc>
          <w:tcPr>
            <w:tcW w:w="1695" w:type="dxa"/>
            <w:tcBorders>
              <w:top w:val="single" w:sz="8"/>
              <w:left w:val="single" w:sz="8"/>
              <w:bottom w:val="single" w:sz="8"/>
              <w:right w:val="single" w:sz="8"/>
            </w:tcBorders>
            <w:tcMar>
              <w:left w:w="108" w:type="dxa"/>
              <w:right w:w="108" w:type="dxa"/>
            </w:tcMar>
            <w:vAlign w:val="top"/>
          </w:tcPr>
          <w:p w:rsidR="7F6EF22F" w:rsidP="52C55E83" w:rsidRDefault="7F6EF22F" w14:paraId="76C18578" w14:textId="617D07B5">
            <w:pPr>
              <w:spacing w:before="0" w:beforeAutospacing="off" w:after="0" w:afterAutospacing="off" w:line="240" w:lineRule="auto"/>
              <w:jc w:val="center"/>
              <w:rPr>
                <w:rFonts w:ascii="Arial" w:hAnsi="Arial" w:eastAsia="Arial" w:cs="Arial"/>
                <w:sz w:val="18"/>
                <w:szCs w:val="18"/>
                <w:lang w:val="en-US"/>
              </w:rPr>
            </w:pPr>
            <w:r w:rsidRPr="52C55E83" w:rsidR="54317E75">
              <w:rPr>
                <w:rFonts w:ascii="Arial" w:hAnsi="Arial" w:eastAsia="Arial" w:cs="Arial"/>
                <w:sz w:val="18"/>
                <w:szCs w:val="18"/>
                <w:lang w:val="en-US"/>
              </w:rPr>
              <w:t>Brief counselling / telephone counselling / online programme</w:t>
            </w:r>
          </w:p>
        </w:tc>
        <w:tc>
          <w:tcPr>
            <w:tcW w:w="1620" w:type="dxa"/>
            <w:tcBorders>
              <w:top w:val="single" w:sz="8"/>
              <w:left w:val="single" w:sz="8"/>
              <w:bottom w:val="single" w:sz="8"/>
              <w:right w:val="single" w:sz="8"/>
            </w:tcBorders>
            <w:tcMar>
              <w:left w:w="108" w:type="dxa"/>
              <w:right w:w="108" w:type="dxa"/>
            </w:tcMar>
            <w:vAlign w:val="top"/>
          </w:tcPr>
          <w:p w:rsidR="7F6EF22F" w:rsidP="51862C77" w:rsidRDefault="7F6EF22F" w14:paraId="52D5DB22" w14:textId="6C32647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intensive behavioural treatment is not feasible, lower-intensity evidence-based support should be offered.</w:t>
            </w:r>
          </w:p>
        </w:tc>
        <w:tc>
          <w:tcPr>
            <w:tcW w:w="1575" w:type="dxa"/>
            <w:tcBorders>
              <w:top w:val="single" w:sz="8"/>
              <w:left w:val="single" w:sz="8"/>
              <w:bottom w:val="single" w:sz="8"/>
              <w:right w:val="single" w:sz="8"/>
            </w:tcBorders>
            <w:tcMar>
              <w:left w:w="108" w:type="dxa"/>
              <w:right w:w="108" w:type="dxa"/>
            </w:tcMar>
            <w:vAlign w:val="top"/>
          </w:tcPr>
          <w:p w:rsidR="52C55E83" w:rsidP="52C55E83" w:rsidRDefault="52C55E83" w14:paraId="6287DC40" w14:textId="727BD43D">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Falls Patient*innen intensive verhaltenstherapeutische Maßnahmen nicht wahrnehmen können, stehen folgende weniger intensive Angebote zur Verfügung: Kurzberatung, Telefonberatung (BZgA 0800 8313131), Online-Programme, Selbsthilfe-Materialien. (Kap. 3.2.3, Empfehlung 3-5, ⇑)</w:t>
            </w:r>
          </w:p>
        </w:tc>
        <w:tc>
          <w:tcPr>
            <w:tcW w:w="1530" w:type="dxa"/>
            <w:tcBorders>
              <w:top w:val="single" w:sz="8"/>
              <w:left w:val="single" w:sz="8"/>
              <w:bottom w:val="single" w:sz="8"/>
              <w:right w:val="single" w:sz="8"/>
            </w:tcBorders>
            <w:tcMar>
              <w:left w:w="108" w:type="dxa"/>
              <w:right w:w="108" w:type="dxa"/>
            </w:tcMar>
            <w:vAlign w:val="top"/>
          </w:tcPr>
          <w:p w:rsidR="7F6EF22F" w:rsidP="51862C77" w:rsidRDefault="7F6EF22F" w14:paraId="78BBC49F" w14:textId="4D22334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separate BPMN branch 'Offer lower-intensity cessation support' is recommended for this case.</w:t>
            </w:r>
          </w:p>
        </w:tc>
      </w:tr>
    </w:tbl>
    <w:p w:rsidR="7F6EF22F" w:rsidP="52C55E83" w:rsidRDefault="7F6EF22F" w14:paraId="56DD1B1A" w14:textId="7D80FC6D">
      <w:pPr>
        <w:pStyle w:val="Normal"/>
        <w:spacing w:line="240" w:lineRule="auto"/>
        <w:rPr>
          <w:rFonts w:ascii="Arial" w:hAnsi="Arial" w:eastAsia="Arial" w:cs="Arial"/>
          <w:color w:val="000000" w:themeColor="text1" w:themeTint="FF" w:themeShade="FF"/>
        </w:rPr>
      </w:pPr>
    </w:p>
    <w:p w:rsidR="52C55E83" w:rsidP="52C55E83" w:rsidRDefault="52C55E83" w14:paraId="7D20353F" w14:textId="6AEC6939">
      <w:pPr>
        <w:pStyle w:val="Normal"/>
        <w:spacing w:line="240" w:lineRule="auto"/>
        <w:rPr>
          <w:rFonts w:ascii="Arial" w:hAnsi="Arial" w:eastAsia="Arial" w:cs="Arial"/>
          <w:color w:val="000000" w:themeColor="text1" w:themeTint="FF" w:themeShade="FF"/>
        </w:rPr>
      </w:pPr>
    </w:p>
    <w:p w:rsidR="4B6F0347" w:rsidP="51862C77" w:rsidRDefault="4B6F0347" w14:paraId="5F8AC168" w14:textId="5678368E">
      <w:pPr>
        <w:pStyle w:val="Normal"/>
        <w:spacing w:line="240" w:lineRule="auto"/>
        <w:rPr>
          <w:rFonts w:ascii="Arial" w:hAnsi="Arial" w:eastAsia="Arial" w:cs="Arial"/>
          <w:b w:val="1"/>
          <w:bCs w:val="1"/>
          <w:color w:val="000000" w:themeColor="text1" w:themeTint="FF" w:themeShade="FF"/>
        </w:rPr>
      </w:pPr>
      <w:r w:rsidRPr="52C55E83" w:rsidR="709548DD">
        <w:rPr>
          <w:rFonts w:ascii="Arial" w:hAnsi="Arial" w:eastAsia="Arial" w:cs="Arial"/>
          <w:b w:val="1"/>
          <w:bCs w:val="1"/>
          <w:color w:val="000000" w:themeColor="text1" w:themeTint="FF" w:themeShade="FF"/>
        </w:rPr>
        <w:t xml:space="preserve">Supplement </w:t>
      </w:r>
      <w:r w:rsidRPr="52C55E83" w:rsidR="71AB8ABD">
        <w:rPr>
          <w:rFonts w:ascii="Arial" w:hAnsi="Arial" w:eastAsia="Arial" w:cs="Arial"/>
          <w:b w:val="1"/>
          <w:bCs w:val="1"/>
          <w:color w:val="000000" w:themeColor="text1" w:themeTint="FF" w:themeShade="FF"/>
        </w:rPr>
        <w:t>S2</w:t>
      </w:r>
      <w:r w:rsidRPr="52C55E83" w:rsidR="709548DD">
        <w:rPr>
          <w:rFonts w:ascii="Arial" w:hAnsi="Arial" w:eastAsia="Arial" w:cs="Arial"/>
          <w:b w:val="1"/>
          <w:bCs w:val="1"/>
          <w:color w:val="000000" w:themeColor="text1" w:themeTint="FF" w:themeShade="FF"/>
        </w:rPr>
        <w:t xml:space="preserve">b: Modelling and </w:t>
      </w:r>
      <w:r w:rsidRPr="52C55E83" w:rsidR="709548DD">
        <w:rPr>
          <w:rFonts w:ascii="Arial" w:hAnsi="Arial" w:eastAsia="Arial" w:cs="Arial"/>
          <w:b w:val="1"/>
          <w:bCs w:val="1"/>
          <w:color w:val="000000" w:themeColor="text1" w:themeTint="FF" w:themeShade="FF"/>
        </w:rPr>
        <w:t>interpretation</w:t>
      </w:r>
      <w:r w:rsidRPr="52C55E83" w:rsidR="709548DD">
        <w:rPr>
          <w:rFonts w:ascii="Arial" w:hAnsi="Arial" w:eastAsia="Arial" w:cs="Arial"/>
          <w:b w:val="1"/>
          <w:bCs w:val="1"/>
          <w:color w:val="000000" w:themeColor="text1" w:themeTint="FF" w:themeShade="FF"/>
        </w:rPr>
        <w:t xml:space="preserve"> </w:t>
      </w:r>
      <w:r w:rsidRPr="52C55E83" w:rsidR="709548DD">
        <w:rPr>
          <w:rFonts w:ascii="Arial" w:hAnsi="Arial" w:eastAsia="Arial" w:cs="Arial"/>
          <w:b w:val="1"/>
          <w:bCs w:val="1"/>
          <w:color w:val="000000" w:themeColor="text1" w:themeTint="FF" w:themeShade="FF"/>
        </w:rPr>
        <w:t>protocol</w:t>
      </w:r>
      <w:r w:rsidRPr="52C55E83" w:rsidR="709548DD">
        <w:rPr>
          <w:rFonts w:ascii="Arial" w:hAnsi="Arial" w:eastAsia="Arial" w:cs="Arial"/>
          <w:b w:val="1"/>
          <w:bCs w:val="1"/>
          <w:color w:val="000000" w:themeColor="text1" w:themeTint="FF" w:themeShade="FF"/>
        </w:rPr>
        <w:t xml:space="preserve"> </w:t>
      </w:r>
      <w:r w:rsidRPr="52C55E83" w:rsidR="709548DD">
        <w:rPr>
          <w:rFonts w:ascii="Arial" w:hAnsi="Arial" w:eastAsia="Arial" w:cs="Arial"/>
          <w:b w:val="1"/>
          <w:bCs w:val="1"/>
          <w:color w:val="000000" w:themeColor="text1" w:themeTint="FF" w:themeShade="FF"/>
        </w:rPr>
        <w:t>for</w:t>
      </w:r>
      <w:r w:rsidRPr="52C55E83" w:rsidR="709548DD">
        <w:rPr>
          <w:rFonts w:ascii="Arial" w:hAnsi="Arial" w:eastAsia="Arial" w:cs="Arial"/>
          <w:b w:val="1"/>
          <w:bCs w:val="1"/>
          <w:color w:val="000000" w:themeColor="text1" w:themeTint="FF" w:themeShade="FF"/>
        </w:rPr>
        <w:t xml:space="preserve"> NVL COPD </w:t>
      </w:r>
      <w:r w:rsidRPr="52C55E83" w:rsidR="709548DD">
        <w:rPr>
          <w:rFonts w:ascii="Arial" w:hAnsi="Arial" w:eastAsia="Arial" w:cs="Arial"/>
          <w:b w:val="1"/>
          <w:bCs w:val="1"/>
          <w:color w:val="000000" w:themeColor="text1" w:themeTint="FF" w:themeShade="FF"/>
        </w:rPr>
        <w:t>Section</w:t>
      </w:r>
      <w:r w:rsidRPr="52C55E83" w:rsidR="709548DD">
        <w:rPr>
          <w:rFonts w:ascii="Arial" w:hAnsi="Arial" w:eastAsia="Arial" w:cs="Arial"/>
          <w:b w:val="1"/>
          <w:bCs w:val="1"/>
          <w:color w:val="000000" w:themeColor="text1" w:themeTint="FF" w:themeShade="FF"/>
        </w:rPr>
        <w:t xml:space="preserve"> </w:t>
      </w:r>
      <w:r w:rsidRPr="52C55E83" w:rsidR="0C596808">
        <w:rPr>
          <w:rFonts w:ascii="Arial" w:hAnsi="Arial" w:eastAsia="Arial" w:cs="Arial"/>
          <w:b w:val="1"/>
          <w:bCs w:val="1"/>
          <w:color w:val="000000" w:themeColor="text1" w:themeTint="FF" w:themeShade="FF"/>
        </w:rPr>
        <w:t>3.3</w:t>
      </w:r>
    </w:p>
    <w:p w:rsidR="42450D51" w:rsidP="51862C77" w:rsidRDefault="42450D51" w14:paraId="55D4A3AC" w14:textId="6F021986">
      <w:pPr>
        <w:pStyle w:val="Normal"/>
        <w:spacing w:line="240" w:lineRule="auto"/>
        <w:rPr>
          <w:rFonts w:ascii="Arial" w:hAnsi="Arial" w:eastAsia="Arial" w:cs="Arial"/>
          <w:color w:val="000000" w:themeColor="text1" w:themeTint="FF" w:themeShade="FF"/>
          <w:sz w:val="20"/>
          <w:szCs w:val="20"/>
        </w:rPr>
      </w:pPr>
      <w:r w:rsidRPr="51862C77" w:rsidR="0D982404">
        <w:rPr>
          <w:rFonts w:ascii="Arial" w:hAnsi="Arial" w:eastAsia="Arial" w:cs="Arial"/>
          <w:color w:val="000000" w:themeColor="text1" w:themeTint="FF" w:themeShade="FF"/>
          <w:sz w:val="20"/>
          <w:szCs w:val="20"/>
        </w:rPr>
        <w:t>The</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main</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process</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question</w:t>
      </w:r>
      <w:r w:rsidRPr="51862C77" w:rsidR="0D982404">
        <w:rPr>
          <w:rFonts w:ascii="Arial" w:hAnsi="Arial" w:eastAsia="Arial" w:cs="Arial"/>
          <w:color w:val="000000" w:themeColor="text1" w:themeTint="FF" w:themeShade="FF"/>
          <w:sz w:val="20"/>
          <w:szCs w:val="20"/>
        </w:rPr>
        <w:t xml:space="preserve"> was </w:t>
      </w:r>
      <w:r w:rsidRPr="51862C77" w:rsidR="0D982404">
        <w:rPr>
          <w:rFonts w:ascii="Arial" w:hAnsi="Arial" w:eastAsia="Arial" w:cs="Arial"/>
          <w:color w:val="000000" w:themeColor="text1" w:themeTint="FF" w:themeShade="FF"/>
          <w:sz w:val="20"/>
          <w:szCs w:val="20"/>
        </w:rPr>
        <w:t>whether</w:t>
      </w:r>
      <w:r w:rsidRPr="51862C77" w:rsidR="0D982404">
        <w:rPr>
          <w:rFonts w:ascii="Arial" w:hAnsi="Arial" w:eastAsia="Arial" w:cs="Arial"/>
          <w:color w:val="000000" w:themeColor="text1" w:themeTint="FF" w:themeShade="FF"/>
          <w:sz w:val="20"/>
          <w:szCs w:val="20"/>
        </w:rPr>
        <w:t xml:space="preserve"> an e-</w:t>
      </w:r>
      <w:r w:rsidRPr="51862C77" w:rsidR="0D982404">
        <w:rPr>
          <w:rFonts w:ascii="Arial" w:hAnsi="Arial" w:eastAsia="Arial" w:cs="Arial"/>
          <w:color w:val="000000" w:themeColor="text1" w:themeTint="FF" w:themeShade="FF"/>
          <w:sz w:val="20"/>
          <w:szCs w:val="20"/>
        </w:rPr>
        <w:t>cigarette</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should</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be</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used</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to</w:t>
      </w:r>
      <w:r w:rsidRPr="51862C77" w:rsidR="0D982404">
        <w:rPr>
          <w:rFonts w:ascii="Arial" w:hAnsi="Arial" w:eastAsia="Arial" w:cs="Arial"/>
          <w:color w:val="000000" w:themeColor="text1" w:themeTint="FF" w:themeShade="FF"/>
          <w:sz w:val="20"/>
          <w:szCs w:val="20"/>
        </w:rPr>
        <w:t xml:space="preserve"> support </w:t>
      </w:r>
      <w:r w:rsidRPr="51862C77" w:rsidR="0D982404">
        <w:rPr>
          <w:rFonts w:ascii="Arial" w:hAnsi="Arial" w:eastAsia="Arial" w:cs="Arial"/>
          <w:color w:val="000000" w:themeColor="text1" w:themeTint="FF" w:themeShade="FF"/>
          <w:sz w:val="20"/>
          <w:szCs w:val="20"/>
        </w:rPr>
        <w:t>tobacco</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abstinence</w:t>
      </w:r>
      <w:r w:rsidRPr="51862C77" w:rsidR="0D982404">
        <w:rPr>
          <w:rFonts w:ascii="Arial" w:hAnsi="Arial" w:eastAsia="Arial" w:cs="Arial"/>
          <w:color w:val="000000" w:themeColor="text1" w:themeTint="FF" w:themeShade="FF"/>
          <w:sz w:val="20"/>
          <w:szCs w:val="20"/>
        </w:rPr>
        <w:t xml:space="preserve"> in a </w:t>
      </w:r>
      <w:r w:rsidRPr="51862C77" w:rsidR="0D982404">
        <w:rPr>
          <w:rFonts w:ascii="Arial" w:hAnsi="Arial" w:eastAsia="Arial" w:cs="Arial"/>
          <w:color w:val="000000" w:themeColor="text1" w:themeTint="FF" w:themeShade="FF"/>
          <w:sz w:val="20"/>
          <w:szCs w:val="20"/>
        </w:rPr>
        <w:t>smoking</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patient</w:t>
      </w:r>
      <w:r w:rsidRPr="51862C77" w:rsidR="0D982404">
        <w:rPr>
          <w:rFonts w:ascii="Arial" w:hAnsi="Arial" w:eastAsia="Arial" w:cs="Arial"/>
          <w:color w:val="000000" w:themeColor="text1" w:themeTint="FF" w:themeShade="FF"/>
          <w:sz w:val="20"/>
          <w:szCs w:val="20"/>
        </w:rPr>
        <w:t xml:space="preserve"> </w:t>
      </w:r>
      <w:r w:rsidRPr="51862C77" w:rsidR="0D982404">
        <w:rPr>
          <w:rFonts w:ascii="Arial" w:hAnsi="Arial" w:eastAsia="Arial" w:cs="Arial"/>
          <w:color w:val="000000" w:themeColor="text1" w:themeTint="FF" w:themeShade="FF"/>
          <w:sz w:val="20"/>
          <w:szCs w:val="20"/>
        </w:rPr>
        <w:t>with</w:t>
      </w:r>
      <w:r w:rsidRPr="51862C77" w:rsidR="0D982404">
        <w:rPr>
          <w:rFonts w:ascii="Arial" w:hAnsi="Arial" w:eastAsia="Arial" w:cs="Arial"/>
          <w:color w:val="000000" w:themeColor="text1" w:themeTint="FF" w:themeShade="FF"/>
          <w:sz w:val="20"/>
          <w:szCs w:val="20"/>
        </w:rPr>
        <w:t xml:space="preserve"> COPD.</w:t>
      </w:r>
    </w:p>
    <w:p w:rsidR="42450D51" w:rsidP="51862C77" w:rsidRDefault="42450D51" w14:paraId="75D84B1C" w14:textId="59B6FE74">
      <w:pPr>
        <w:pStyle w:val="Normal"/>
        <w:spacing w:line="240" w:lineRule="auto"/>
        <w:rPr>
          <w:rFonts w:ascii="Arial" w:hAnsi="Arial" w:eastAsia="Arial" w:cs="Arial"/>
          <w:color w:val="000000" w:themeColor="text1" w:themeTint="FF" w:themeShade="FF"/>
          <w:sz w:val="20"/>
          <w:szCs w:val="20"/>
          <w:lang w:val="en-US"/>
        </w:rPr>
      </w:pPr>
      <w:r w:rsidRPr="51862C77" w:rsidR="0D982404">
        <w:rPr>
          <w:rFonts w:ascii="Arial" w:hAnsi="Arial" w:eastAsia="Arial" w:cs="Arial"/>
          <w:color w:val="000000" w:themeColor="text1" w:themeTint="FF" w:themeShade="FF"/>
          <w:sz w:val="20"/>
          <w:szCs w:val="20"/>
          <w:lang w:val="en-US"/>
        </w:rPr>
        <w:t xml:space="preserve">The BPMN </w:t>
      </w:r>
      <w:r w:rsidRPr="51862C77" w:rsidR="0D982404">
        <w:rPr>
          <w:rFonts w:ascii="Arial" w:hAnsi="Arial" w:eastAsia="Arial" w:cs="Arial"/>
          <w:color w:val="000000" w:themeColor="text1" w:themeTint="FF" w:themeShade="FF"/>
          <w:sz w:val="20"/>
          <w:szCs w:val="20"/>
          <w:lang w:val="en-US"/>
        </w:rPr>
        <w:t>model</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uses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two</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pools</w:t>
      </w:r>
      <w:r w:rsidRPr="51862C77" w:rsidR="0D982404">
        <w:rPr>
          <w:rFonts w:ascii="Arial" w:hAnsi="Arial" w:eastAsia="Arial" w:cs="Arial"/>
          <w:color w:val="000000" w:themeColor="text1" w:themeTint="FF" w:themeShade="FF"/>
          <w:sz w:val="20"/>
          <w:szCs w:val="20"/>
          <w:lang w:val="en-US"/>
        </w:rPr>
        <w:t xml:space="preserve">: Patient </w:t>
      </w:r>
      <w:r w:rsidRPr="51862C77" w:rsidR="0D982404">
        <w:rPr>
          <w:rFonts w:ascii="Arial" w:hAnsi="Arial" w:eastAsia="Arial" w:cs="Arial"/>
          <w:color w:val="000000" w:themeColor="text1" w:themeTint="FF" w:themeShade="FF"/>
          <w:sz w:val="20"/>
          <w:szCs w:val="20"/>
          <w:lang w:val="en-US"/>
        </w:rPr>
        <w:t>with</w:t>
      </w:r>
      <w:r w:rsidRPr="51862C77" w:rsidR="0D982404">
        <w:rPr>
          <w:rFonts w:ascii="Arial" w:hAnsi="Arial" w:eastAsia="Arial" w:cs="Arial"/>
          <w:color w:val="000000" w:themeColor="text1" w:themeTint="FF" w:themeShade="FF"/>
          <w:sz w:val="20"/>
          <w:szCs w:val="20"/>
          <w:lang w:val="en-US"/>
        </w:rPr>
        <w:t xml:space="preserve"> COPD and </w:t>
      </w:r>
      <w:r w:rsidRPr="51862C77" w:rsidR="0D982404">
        <w:rPr>
          <w:rFonts w:ascii="Arial" w:hAnsi="Arial" w:eastAsia="Arial" w:cs="Arial"/>
          <w:color w:val="000000" w:themeColor="text1" w:themeTint="FF" w:themeShade="FF"/>
          <w:sz w:val="20"/>
          <w:szCs w:val="20"/>
          <w:lang w:val="en-US"/>
        </w:rPr>
        <w:t>Healthcare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provider</w:t>
      </w:r>
      <w:r w:rsidRPr="51862C77" w:rsidR="0D982404">
        <w:rPr>
          <w:rFonts w:ascii="Arial" w:hAnsi="Arial" w:eastAsia="Arial" w:cs="Arial"/>
          <w:color w:val="000000" w:themeColor="text1" w:themeTint="FF" w:themeShade="FF"/>
          <w:sz w:val="20"/>
          <w:szCs w:val="20"/>
          <w:lang w:val="en-US"/>
        </w:rPr>
        <w:t xml:space="preserve">. The </w:t>
      </w:r>
      <w:r w:rsidRPr="51862C77" w:rsidR="0D982404">
        <w:rPr>
          <w:rFonts w:ascii="Arial" w:hAnsi="Arial" w:eastAsia="Arial" w:cs="Arial"/>
          <w:color w:val="000000" w:themeColor="text1" w:themeTint="FF" w:themeShade="FF"/>
          <w:sz w:val="20"/>
          <w:szCs w:val="20"/>
          <w:lang w:val="en-US"/>
        </w:rPr>
        <w:t>healthcare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provider</w:t>
      </w:r>
      <w:r w:rsidRPr="51862C77" w:rsidR="0D982404">
        <w:rPr>
          <w:rFonts w:ascii="Arial" w:hAnsi="Arial" w:eastAsia="Arial" w:cs="Arial"/>
          <w:color w:val="000000" w:themeColor="text1" w:themeTint="FF" w:themeShade="FF"/>
          <w:sz w:val="20"/>
          <w:szCs w:val="20"/>
          <w:lang w:val="en-US"/>
        </w:rPr>
        <w:t xml:space="preserve"> pool </w:t>
      </w:r>
      <w:r w:rsidRPr="51862C77" w:rsidR="0D982404">
        <w:rPr>
          <w:rFonts w:ascii="Arial" w:hAnsi="Arial" w:eastAsia="Arial" w:cs="Arial"/>
          <w:color w:val="000000" w:themeColor="text1" w:themeTint="FF" w:themeShade="FF"/>
          <w:sz w:val="20"/>
          <w:szCs w:val="20"/>
          <w:lang w:val="en-US"/>
        </w:rPr>
        <w:t>is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divided</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into</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the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lanes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Physician</w:t>
      </w:r>
      <w:r w:rsidRPr="51862C77" w:rsidR="0D982404">
        <w:rPr>
          <w:rFonts w:ascii="Arial" w:hAnsi="Arial" w:eastAsia="Arial" w:cs="Arial"/>
          <w:color w:val="000000" w:themeColor="text1" w:themeTint="FF" w:themeShade="FF"/>
          <w:sz w:val="20"/>
          <w:szCs w:val="20"/>
          <w:lang w:val="en-US"/>
        </w:rPr>
        <w:t xml:space="preserve">, Behavioral </w:t>
      </w:r>
      <w:r w:rsidRPr="51862C77" w:rsidR="0D982404">
        <w:rPr>
          <w:rFonts w:ascii="Arial" w:hAnsi="Arial" w:eastAsia="Arial" w:cs="Arial"/>
          <w:color w:val="000000" w:themeColor="text1" w:themeTint="FF" w:themeShade="FF"/>
          <w:sz w:val="20"/>
          <w:szCs w:val="20"/>
          <w:lang w:val="en-US"/>
        </w:rPr>
        <w:t>counselling</w:t>
      </w:r>
      <w:r w:rsidRPr="51862C77" w:rsidR="0D982404">
        <w:rPr>
          <w:rFonts w:ascii="Arial" w:hAnsi="Arial" w:eastAsia="Arial" w:cs="Arial"/>
          <w:color w:val="000000" w:themeColor="text1" w:themeTint="FF" w:themeShade="FF"/>
          <w:sz w:val="20"/>
          <w:szCs w:val="20"/>
          <w:lang w:val="en-US"/>
        </w:rPr>
        <w:t>, and Follow-</w:t>
      </w:r>
      <w:r w:rsidRPr="51862C77" w:rsidR="0D982404">
        <w:rPr>
          <w:rFonts w:ascii="Arial" w:hAnsi="Arial" w:eastAsia="Arial" w:cs="Arial"/>
          <w:color w:val="000000" w:themeColor="text1" w:themeTint="FF" w:themeShade="FF"/>
          <w:sz w:val="20"/>
          <w:szCs w:val="20"/>
          <w:lang w:val="en-US"/>
        </w:rPr>
        <w:t>up</w:t>
      </w:r>
      <w:r w:rsidRPr="51862C77" w:rsidR="0D982404">
        <w:rPr>
          <w:rFonts w:ascii="Arial" w:hAnsi="Arial" w:eastAsia="Arial" w:cs="Arial"/>
          <w:color w:val="000000" w:themeColor="text1" w:themeTint="FF" w:themeShade="FF"/>
          <w:sz w:val="20"/>
          <w:szCs w:val="20"/>
          <w:lang w:val="en-US"/>
        </w:rPr>
        <w:t>/</w:t>
      </w:r>
      <w:r w:rsidRPr="51862C77" w:rsidR="0D982404">
        <w:rPr>
          <w:rFonts w:ascii="Arial" w:hAnsi="Arial" w:eastAsia="Arial" w:cs="Arial"/>
          <w:color w:val="000000" w:themeColor="text1" w:themeTint="FF" w:themeShade="FF"/>
          <w:sz w:val="20"/>
          <w:szCs w:val="20"/>
          <w:lang w:val="en-US"/>
        </w:rPr>
        <w:t>monitoring</w:t>
      </w:r>
      <w:r w:rsidRPr="51862C77" w:rsidR="0D982404">
        <w:rPr>
          <w:rFonts w:ascii="Arial" w:hAnsi="Arial" w:eastAsia="Arial" w:cs="Arial"/>
          <w:color w:val="000000" w:themeColor="text1" w:themeTint="FF" w:themeShade="FF"/>
          <w:sz w:val="20"/>
          <w:szCs w:val="20"/>
          <w:lang w:val="en-US"/>
        </w:rPr>
        <w:t xml:space="preserve">. This </w:t>
      </w:r>
      <w:r w:rsidRPr="51862C77" w:rsidR="0D982404">
        <w:rPr>
          <w:rFonts w:ascii="Arial" w:hAnsi="Arial" w:eastAsia="Arial" w:cs="Arial"/>
          <w:color w:val="000000" w:themeColor="text1" w:themeTint="FF" w:themeShade="FF"/>
          <w:sz w:val="20"/>
          <w:szCs w:val="20"/>
          <w:lang w:val="en-US"/>
        </w:rPr>
        <w:t>structure</w:t>
      </w:r>
      <w:r w:rsidRPr="51862C77" w:rsidR="0D982404">
        <w:rPr>
          <w:rFonts w:ascii="Arial" w:hAnsi="Arial" w:eastAsia="Arial" w:cs="Arial"/>
          <w:color w:val="000000" w:themeColor="text1" w:themeTint="FF" w:themeShade="FF"/>
          <w:sz w:val="20"/>
          <w:szCs w:val="20"/>
          <w:lang w:val="en-US"/>
        </w:rPr>
        <w:t xml:space="preserve"> was </w:t>
      </w:r>
      <w:r w:rsidRPr="51862C77" w:rsidR="0D982404">
        <w:rPr>
          <w:rFonts w:ascii="Arial" w:hAnsi="Arial" w:eastAsia="Arial" w:cs="Arial"/>
          <w:color w:val="000000" w:themeColor="text1" w:themeTint="FF" w:themeShade="FF"/>
          <w:sz w:val="20"/>
          <w:szCs w:val="20"/>
          <w:lang w:val="en-US"/>
        </w:rPr>
        <w:t>chosen</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because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the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guideline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describes</w:t>
      </w:r>
      <w:r w:rsidRPr="51862C77" w:rsidR="0D982404">
        <w:rPr>
          <w:rFonts w:ascii="Arial" w:hAnsi="Arial" w:eastAsia="Arial" w:cs="Arial"/>
          <w:color w:val="000000" w:themeColor="text1" w:themeTint="FF" w:themeShade="FF"/>
          <w:sz w:val="20"/>
          <w:szCs w:val="20"/>
          <w:lang w:val="en-US"/>
        </w:rPr>
        <w:t xml:space="preserve"> e-</w:t>
      </w:r>
      <w:r w:rsidRPr="51862C77" w:rsidR="0D982404">
        <w:rPr>
          <w:rFonts w:ascii="Arial" w:hAnsi="Arial" w:eastAsia="Arial" w:cs="Arial"/>
          <w:color w:val="000000" w:themeColor="text1" w:themeTint="FF" w:themeShade="FF"/>
          <w:sz w:val="20"/>
          <w:szCs w:val="20"/>
          <w:lang w:val="en-US"/>
        </w:rPr>
        <w:t>cigarette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use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only</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as</w:t>
      </w:r>
      <w:r w:rsidRPr="51862C77" w:rsidR="0D982404">
        <w:rPr>
          <w:rFonts w:ascii="Arial" w:hAnsi="Arial" w:eastAsia="Arial" w:cs="Arial"/>
          <w:color w:val="000000" w:themeColor="text1" w:themeTint="FF" w:themeShade="FF"/>
          <w:sz w:val="20"/>
          <w:szCs w:val="20"/>
          <w:lang w:val="en-US"/>
        </w:rPr>
        <w:t xml:space="preserve"> a </w:t>
      </w:r>
      <w:r w:rsidRPr="51862C77" w:rsidR="0D982404">
        <w:rPr>
          <w:rFonts w:ascii="Arial" w:hAnsi="Arial" w:eastAsia="Arial" w:cs="Arial"/>
          <w:color w:val="000000" w:themeColor="text1" w:themeTint="FF" w:themeShade="FF"/>
          <w:sz w:val="20"/>
          <w:szCs w:val="20"/>
          <w:lang w:val="en-US"/>
        </w:rPr>
        <w:t>strictly</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conditional</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exception</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Patients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may</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consider</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using</w:t>
      </w:r>
      <w:r w:rsidRPr="51862C77" w:rsidR="0D982404">
        <w:rPr>
          <w:rFonts w:ascii="Arial" w:hAnsi="Arial" w:eastAsia="Arial" w:cs="Arial"/>
          <w:color w:val="000000" w:themeColor="text1" w:themeTint="FF" w:themeShade="FF"/>
          <w:sz w:val="20"/>
          <w:szCs w:val="20"/>
          <w:lang w:val="en-US"/>
        </w:rPr>
        <w:t xml:space="preserve"> e-</w:t>
      </w:r>
      <w:r w:rsidRPr="51862C77" w:rsidR="0D982404">
        <w:rPr>
          <w:rFonts w:ascii="Arial" w:hAnsi="Arial" w:eastAsia="Arial" w:cs="Arial"/>
          <w:color w:val="000000" w:themeColor="text1" w:themeTint="FF" w:themeShade="FF"/>
          <w:sz w:val="20"/>
          <w:szCs w:val="20"/>
          <w:lang w:val="en-US"/>
        </w:rPr>
        <w:t>cigarettes</w:t>
      </w:r>
      <w:r w:rsidRPr="51862C77" w:rsidR="0D982404">
        <w:rPr>
          <w:rFonts w:ascii="Arial" w:hAnsi="Arial" w:eastAsia="Arial" w:cs="Arial"/>
          <w:color w:val="000000" w:themeColor="text1" w:themeTint="FF" w:themeShade="FF"/>
          <w:sz w:val="20"/>
          <w:szCs w:val="20"/>
          <w:lang w:val="en-US"/>
        </w:rPr>
        <w:t xml:space="preserve">, but </w:t>
      </w:r>
      <w:r w:rsidRPr="51862C77" w:rsidR="0D982404">
        <w:rPr>
          <w:rFonts w:ascii="Arial" w:hAnsi="Arial" w:eastAsia="Arial" w:cs="Arial"/>
          <w:color w:val="000000" w:themeColor="text1" w:themeTint="FF" w:themeShade="FF"/>
          <w:sz w:val="20"/>
          <w:szCs w:val="20"/>
          <w:lang w:val="en-US"/>
        </w:rPr>
        <w:t>the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clinical</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side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must</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provide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information</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about</w:t>
      </w:r>
      <w:r w:rsidRPr="51862C77" w:rsidR="0D982404">
        <w:rPr>
          <w:rFonts w:ascii="Arial" w:hAnsi="Arial" w:eastAsia="Arial" w:cs="Arial"/>
          <w:color w:val="000000" w:themeColor="text1" w:themeTint="FF" w:themeShade="FF"/>
          <w:sz w:val="20"/>
          <w:szCs w:val="20"/>
          <w:lang w:val="en-US"/>
        </w:rPr>
        <w:t xml:space="preserve"> potential </w:t>
      </w:r>
      <w:r w:rsidRPr="51862C77" w:rsidR="0D982404">
        <w:rPr>
          <w:rFonts w:ascii="Arial" w:hAnsi="Arial" w:eastAsia="Arial" w:cs="Arial"/>
          <w:color w:val="000000" w:themeColor="text1" w:themeTint="FF" w:themeShade="FF"/>
          <w:sz w:val="20"/>
          <w:szCs w:val="20"/>
          <w:lang w:val="en-US"/>
        </w:rPr>
        <w:t>risks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assess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whether</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the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required</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conditions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are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met</w:t>
      </w:r>
      <w:r w:rsidRPr="51862C77" w:rsidR="0D982404">
        <w:rPr>
          <w:rFonts w:ascii="Arial" w:hAnsi="Arial" w:eastAsia="Arial" w:cs="Arial"/>
          <w:color w:val="000000" w:themeColor="text1" w:themeTint="FF" w:themeShade="FF"/>
          <w:sz w:val="20"/>
          <w:szCs w:val="20"/>
          <w:lang w:val="en-US"/>
        </w:rPr>
        <w:t xml:space="preserve"> and </w:t>
      </w:r>
      <w:r w:rsidRPr="51862C77" w:rsidR="0D982404">
        <w:rPr>
          <w:rFonts w:ascii="Arial" w:hAnsi="Arial" w:eastAsia="Arial" w:cs="Arial"/>
          <w:color w:val="000000" w:themeColor="text1" w:themeTint="FF" w:themeShade="FF"/>
          <w:sz w:val="20"/>
          <w:szCs w:val="20"/>
          <w:lang w:val="en-US"/>
        </w:rPr>
        <w:t>ensure</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continuous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monitoring</w:t>
      </w:r>
      <w:r w:rsidRPr="51862C77" w:rsidR="0D982404">
        <w:rPr>
          <w:rFonts w:ascii="Arial" w:hAnsi="Arial" w:eastAsia="Arial" w:cs="Arial"/>
          <w:color w:val="000000" w:themeColor="text1" w:themeTint="FF" w:themeShade="FF"/>
          <w:sz w:val="20"/>
          <w:szCs w:val="20"/>
          <w:lang w:val="en-US"/>
        </w:rPr>
        <w:t xml:space="preserve">. Behavioral </w:t>
      </w:r>
      <w:r w:rsidRPr="51862C77" w:rsidR="0D982404">
        <w:rPr>
          <w:rFonts w:ascii="Arial" w:hAnsi="Arial" w:eastAsia="Arial" w:cs="Arial"/>
          <w:color w:val="000000" w:themeColor="text1" w:themeTint="FF" w:themeShade="FF"/>
          <w:sz w:val="20"/>
          <w:szCs w:val="20"/>
          <w:lang w:val="en-US"/>
        </w:rPr>
        <w:t>counselling</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is</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represented</w:t>
      </w:r>
      <w:r w:rsidRPr="51862C77" w:rsidR="0D982404">
        <w:rPr>
          <w:rFonts w:ascii="Arial" w:hAnsi="Arial" w:eastAsia="Arial" w:cs="Arial"/>
          <w:color w:val="000000" w:themeColor="text1" w:themeTint="FF" w:themeShade="FF"/>
          <w:sz w:val="20"/>
          <w:szCs w:val="20"/>
          <w:lang w:val="en-US"/>
        </w:rPr>
        <w:t xml:space="preserve"> </w:t>
      </w:r>
      <w:r w:rsidRPr="51862C77" w:rsidR="0D982404">
        <w:rPr>
          <w:rFonts w:ascii="Arial" w:hAnsi="Arial" w:eastAsia="Arial" w:cs="Arial"/>
          <w:color w:val="000000" w:themeColor="text1" w:themeTint="FF" w:themeShade="FF"/>
          <w:sz w:val="20"/>
          <w:szCs w:val="20"/>
          <w:lang w:val="en-US"/>
        </w:rPr>
        <w:t>as</w:t>
      </w:r>
      <w:r w:rsidRPr="51862C77" w:rsidR="0D982404">
        <w:rPr>
          <w:rFonts w:ascii="Arial" w:hAnsi="Arial" w:eastAsia="Arial" w:cs="Arial"/>
          <w:color w:val="000000" w:themeColor="text1" w:themeTint="FF" w:themeShade="FF"/>
          <w:sz w:val="20"/>
          <w:szCs w:val="20"/>
          <w:lang w:val="en-US"/>
        </w:rPr>
        <w:t xml:space="preserve"> an additional supportive </w:t>
      </w:r>
      <w:r w:rsidRPr="51862C77" w:rsidR="0D982404">
        <w:rPr>
          <w:rFonts w:ascii="Arial" w:hAnsi="Arial" w:eastAsia="Arial" w:cs="Arial"/>
          <w:color w:val="000000" w:themeColor="text1" w:themeTint="FF" w:themeShade="FF"/>
          <w:sz w:val="20"/>
          <w:szCs w:val="20"/>
          <w:lang w:val="en-US"/>
        </w:rPr>
        <w:t>component</w:t>
      </w:r>
      <w:r w:rsidRPr="51862C77" w:rsidR="0D982404">
        <w:rPr>
          <w:rFonts w:ascii="Arial" w:hAnsi="Arial" w:eastAsia="Arial" w:cs="Arial"/>
          <w:color w:val="000000" w:themeColor="text1" w:themeTint="FF" w:themeShade="FF"/>
          <w:sz w:val="20"/>
          <w:szCs w:val="20"/>
          <w:lang w:val="en-US"/>
        </w:rPr>
        <w:t>.</w:t>
      </w:r>
    </w:p>
    <w:p w:rsidR="42450D51" w:rsidP="51862C77" w:rsidRDefault="42450D51" w14:paraId="77F69683" w14:textId="28E8CFC5">
      <w:pPr>
        <w:pStyle w:val="Normal"/>
        <w:spacing w:line="240" w:lineRule="auto"/>
      </w:pPr>
      <w:r w:rsidRPr="51862C77" w:rsidR="0D982404">
        <w:rPr>
          <w:rFonts w:ascii="Arial" w:hAnsi="Arial" w:eastAsia="Arial" w:cs="Arial"/>
          <w:color w:val="000000" w:themeColor="text1" w:themeTint="FF" w:themeShade="FF"/>
          <w:sz w:val="20"/>
          <w:szCs w:val="20"/>
        </w:rPr>
        <w:t>For the BPMN/DMN modelling, Section 3.3 was divided into five logical blocks: the lack of COPD-specific evidence of benefit, the potential for harm, the guideline position against using e-cigarettes as the primary cessation attempt, the exception criteria for supportive use, and the need for additional counselling and monitoring. This structure translates the narrative recommendation into a restrictive decision and process logic. BPMN represents the care process, while DMN checks whether the conditions for the exception decision are fulfilled.</w:t>
      </w:r>
    </w:p>
    <w:p w:rsidR="13C365FC" w:rsidP="51862C77" w:rsidRDefault="13C365FC" w14:paraId="439AF19A" w14:textId="1EC7A69D">
      <w:pPr>
        <w:pStyle w:val="Normal"/>
        <w:spacing w:line="240" w:lineRule="auto"/>
      </w:pPr>
      <w:r w:rsidRPr="51862C77" w:rsidR="15E85FB6">
        <w:rPr>
          <w:rFonts w:ascii="Arial" w:hAnsi="Arial" w:eastAsia="Arial" w:cs="Arial"/>
          <w:color w:val="000000" w:themeColor="text1" w:themeTint="FF" w:themeShade="FF"/>
          <w:sz w:val="20"/>
          <w:szCs w:val="20"/>
        </w:rPr>
        <w:t xml:space="preserve">The </w:t>
      </w:r>
      <w:r w:rsidRPr="51862C77" w:rsidR="15E85FB6">
        <w:rPr>
          <w:rFonts w:ascii="Arial" w:hAnsi="Arial" w:eastAsia="Arial" w:cs="Arial"/>
          <w:color w:val="000000" w:themeColor="text1" w:themeTint="FF" w:themeShade="FF"/>
          <w:sz w:val="20"/>
          <w:szCs w:val="20"/>
        </w:rPr>
        <w:t>five</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logical</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blocks</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used</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to</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structure</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the</w:t>
      </w:r>
      <w:r w:rsidRPr="51862C77" w:rsidR="15E85FB6">
        <w:rPr>
          <w:rFonts w:ascii="Arial" w:hAnsi="Arial" w:eastAsia="Arial" w:cs="Arial"/>
          <w:color w:val="000000" w:themeColor="text1" w:themeTint="FF" w:themeShade="FF"/>
          <w:sz w:val="20"/>
          <w:szCs w:val="20"/>
        </w:rPr>
        <w:t xml:space="preserve"> e-</w:t>
      </w:r>
      <w:r w:rsidRPr="51862C77" w:rsidR="15E85FB6">
        <w:rPr>
          <w:rFonts w:ascii="Arial" w:hAnsi="Arial" w:eastAsia="Arial" w:cs="Arial"/>
          <w:color w:val="000000" w:themeColor="text1" w:themeTint="FF" w:themeShade="FF"/>
          <w:sz w:val="20"/>
          <w:szCs w:val="20"/>
        </w:rPr>
        <w:t>cigarette</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modelling</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are</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summarised</w:t>
      </w:r>
      <w:r w:rsidRPr="51862C77" w:rsidR="15E85FB6">
        <w:rPr>
          <w:rFonts w:ascii="Arial" w:hAnsi="Arial" w:eastAsia="Arial" w:cs="Arial"/>
          <w:color w:val="000000" w:themeColor="text1" w:themeTint="FF" w:themeShade="FF"/>
          <w:sz w:val="20"/>
          <w:szCs w:val="20"/>
        </w:rPr>
        <w:t xml:space="preserve"> in Table S2b-1. The </w:t>
      </w:r>
      <w:r w:rsidRPr="51862C77" w:rsidR="15E85FB6">
        <w:rPr>
          <w:rFonts w:ascii="Arial" w:hAnsi="Arial" w:eastAsia="Arial" w:cs="Arial"/>
          <w:color w:val="000000" w:themeColor="text1" w:themeTint="FF" w:themeShade="FF"/>
          <w:sz w:val="20"/>
          <w:szCs w:val="20"/>
        </w:rPr>
        <w:t>table</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explains</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how</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the</w:t>
      </w:r>
      <w:r w:rsidRPr="51862C77" w:rsidR="15E85FB6">
        <w:rPr>
          <w:rFonts w:ascii="Arial" w:hAnsi="Arial" w:eastAsia="Arial" w:cs="Arial"/>
          <w:color w:val="000000" w:themeColor="text1" w:themeTint="FF" w:themeShade="FF"/>
          <w:sz w:val="20"/>
          <w:szCs w:val="20"/>
        </w:rPr>
        <w:t xml:space="preserve"> narrative </w:t>
      </w:r>
      <w:r w:rsidRPr="51862C77" w:rsidR="15E85FB6">
        <w:rPr>
          <w:rFonts w:ascii="Arial" w:hAnsi="Arial" w:eastAsia="Arial" w:cs="Arial"/>
          <w:color w:val="000000" w:themeColor="text1" w:themeTint="FF" w:themeShade="FF"/>
          <w:sz w:val="20"/>
          <w:szCs w:val="20"/>
        </w:rPr>
        <w:t>recommendation</w:t>
      </w:r>
      <w:r w:rsidRPr="51862C77" w:rsidR="15E85FB6">
        <w:rPr>
          <w:rFonts w:ascii="Arial" w:hAnsi="Arial" w:eastAsia="Arial" w:cs="Arial"/>
          <w:color w:val="000000" w:themeColor="text1" w:themeTint="FF" w:themeShade="FF"/>
          <w:sz w:val="20"/>
          <w:szCs w:val="20"/>
        </w:rPr>
        <w:t xml:space="preserve"> was </w:t>
      </w:r>
      <w:r w:rsidRPr="51862C77" w:rsidR="15E85FB6">
        <w:rPr>
          <w:rFonts w:ascii="Arial" w:hAnsi="Arial" w:eastAsia="Arial" w:cs="Arial"/>
          <w:color w:val="000000" w:themeColor="text1" w:themeTint="FF" w:themeShade="FF"/>
          <w:sz w:val="20"/>
          <w:szCs w:val="20"/>
        </w:rPr>
        <w:t>divided</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into</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evidence</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risk</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exclusion</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exception</w:t>
      </w:r>
      <w:r w:rsidRPr="51862C77" w:rsidR="15E85FB6">
        <w:rPr>
          <w:rFonts w:ascii="Arial" w:hAnsi="Arial" w:eastAsia="Arial" w:cs="Arial"/>
          <w:color w:val="000000" w:themeColor="text1" w:themeTint="FF" w:themeShade="FF"/>
          <w:sz w:val="20"/>
          <w:szCs w:val="20"/>
        </w:rPr>
        <w:t xml:space="preserve">, and </w:t>
      </w:r>
      <w:r w:rsidRPr="51862C77" w:rsidR="15E85FB6">
        <w:rPr>
          <w:rFonts w:ascii="Arial" w:hAnsi="Arial" w:eastAsia="Arial" w:cs="Arial"/>
          <w:color w:val="000000" w:themeColor="text1" w:themeTint="FF" w:themeShade="FF"/>
          <w:sz w:val="20"/>
          <w:szCs w:val="20"/>
        </w:rPr>
        <w:t>counselling</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or</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monitoring</w:t>
      </w:r>
      <w:r w:rsidRPr="51862C77" w:rsidR="15E85FB6">
        <w:rPr>
          <w:rFonts w:ascii="Arial" w:hAnsi="Arial" w:eastAsia="Arial" w:cs="Arial"/>
          <w:color w:val="000000" w:themeColor="text1" w:themeTint="FF" w:themeShade="FF"/>
          <w:sz w:val="20"/>
          <w:szCs w:val="20"/>
        </w:rPr>
        <w:t xml:space="preserve"> </w:t>
      </w:r>
      <w:r w:rsidRPr="51862C77" w:rsidR="15E85FB6">
        <w:rPr>
          <w:rFonts w:ascii="Arial" w:hAnsi="Arial" w:eastAsia="Arial" w:cs="Arial"/>
          <w:color w:val="000000" w:themeColor="text1" w:themeTint="FF" w:themeShade="FF"/>
          <w:sz w:val="20"/>
          <w:szCs w:val="20"/>
        </w:rPr>
        <w:t>components</w:t>
      </w:r>
      <w:r w:rsidRPr="51862C77" w:rsidR="15E85FB6">
        <w:rPr>
          <w:rFonts w:ascii="Arial" w:hAnsi="Arial" w:eastAsia="Arial" w:cs="Arial"/>
          <w:color w:val="000000" w:themeColor="text1" w:themeTint="FF" w:themeShade="FF"/>
          <w:sz w:val="20"/>
          <w:szCs w:val="20"/>
        </w:rPr>
        <w:t xml:space="preserve">. The BPMN modelling decisions for the e-cigarette process </w:t>
      </w:r>
      <w:r w:rsidRPr="51862C77" w:rsidR="15E85FB6">
        <w:rPr>
          <w:rFonts w:ascii="Arial" w:hAnsi="Arial" w:eastAsia="Arial" w:cs="Arial"/>
          <w:color w:val="000000" w:themeColor="text1" w:themeTint="FF" w:themeShade="FF"/>
          <w:sz w:val="20"/>
          <w:szCs w:val="20"/>
        </w:rPr>
        <w:t>are</w:t>
      </w:r>
      <w:r w:rsidRPr="51862C77" w:rsidR="15E85FB6">
        <w:rPr>
          <w:rFonts w:ascii="Arial" w:hAnsi="Arial" w:eastAsia="Arial" w:cs="Arial"/>
          <w:color w:val="000000" w:themeColor="text1" w:themeTint="FF" w:themeShade="FF"/>
          <w:sz w:val="20"/>
          <w:szCs w:val="20"/>
        </w:rPr>
        <w:t xml:space="preserve"> presented in Table S2b-2. The table documents how triggers, prerequisite checks, counselling, and continuous monitoring were represented in the process model.</w:t>
      </w:r>
      <w:r w:rsidRPr="51862C77" w:rsidR="5E96C2FB">
        <w:rPr>
          <w:rFonts w:ascii="Arial" w:hAnsi="Arial" w:eastAsia="Arial" w:cs="Arial"/>
          <w:color w:val="000000" w:themeColor="text1" w:themeTint="FF" w:themeShade="FF"/>
          <w:sz w:val="20"/>
          <w:szCs w:val="20"/>
        </w:rPr>
        <w:t xml:space="preserve"> </w:t>
      </w:r>
      <w:r w:rsidRPr="51862C77" w:rsidR="5E96C2FB">
        <w:rPr>
          <w:rFonts w:ascii="Arial" w:hAnsi="Arial" w:eastAsia="Arial" w:cs="Arial"/>
          <w:color w:val="000000" w:themeColor="text1" w:themeTint="FF" w:themeShade="FF"/>
          <w:sz w:val="20"/>
          <w:szCs w:val="20"/>
          <w:lang w:val="en-US"/>
        </w:rPr>
        <w:t xml:space="preserve">The DMN eligibility rules for e-cigarette-supported tobacco abstinence are presented in Table S2b-3. The table is intended to be understandable independently of the BPMN model and therefore includes the primary cessation attempt as a separate exclusion rule. The BPMN modelling decisions for the exacerbation-focused medication algorithm are shown in Table S2c-1. The table describes how the algorithm was transformed into start events, gateways, user tasks, business rule tasks, and end states. The DMN decision for adherence and inhalation technique before medication escalation is documented in Table S2c-2. The table defines the inputs and outputs that determine whether escalation may proceed or whether training or counselling is </w:t>
      </w:r>
      <w:r w:rsidRPr="51862C77" w:rsidR="5E96C2FB">
        <w:rPr>
          <w:rFonts w:ascii="Arial" w:hAnsi="Arial" w:eastAsia="Arial" w:cs="Arial"/>
          <w:color w:val="000000" w:themeColor="text1" w:themeTint="FF" w:themeShade="FF"/>
          <w:sz w:val="20"/>
          <w:szCs w:val="20"/>
          <w:lang w:val="en-US"/>
        </w:rPr>
        <w:t>required</w:t>
      </w:r>
      <w:r w:rsidRPr="51862C77" w:rsidR="5E96C2FB">
        <w:rPr>
          <w:rFonts w:ascii="Arial" w:hAnsi="Arial" w:eastAsia="Arial" w:cs="Arial"/>
          <w:color w:val="000000" w:themeColor="text1" w:themeTint="FF" w:themeShade="FF"/>
          <w:sz w:val="20"/>
          <w:szCs w:val="20"/>
          <w:lang w:val="en-US"/>
        </w:rPr>
        <w:t xml:space="preserve"> first. The DMN decision for ICS </w:t>
      </w:r>
      <w:r w:rsidRPr="51862C77" w:rsidR="5E96C2FB">
        <w:rPr>
          <w:rFonts w:ascii="Arial" w:hAnsi="Arial" w:eastAsia="Arial" w:cs="Arial"/>
          <w:color w:val="000000" w:themeColor="text1" w:themeTint="FF" w:themeShade="FF"/>
          <w:sz w:val="20"/>
          <w:szCs w:val="20"/>
          <w:lang w:val="en-US"/>
        </w:rPr>
        <w:t>indication</w:t>
      </w:r>
      <w:r w:rsidRPr="51862C77" w:rsidR="5E96C2FB">
        <w:rPr>
          <w:rFonts w:ascii="Arial" w:hAnsi="Arial" w:eastAsia="Arial" w:cs="Arial"/>
          <w:color w:val="000000" w:themeColor="text1" w:themeTint="FF" w:themeShade="FF"/>
          <w:sz w:val="20"/>
          <w:szCs w:val="20"/>
          <w:lang w:val="en-US"/>
        </w:rPr>
        <w:t xml:space="preserve"> before escalation to triple therapy is documented in Table S2c-3. The table specifies how eosinophil counts and an asthma component were used to determine whether ICS escalation is guideline-concordant.</w:t>
      </w:r>
      <w:r w:rsidRPr="51862C77" w:rsidR="5593011C">
        <w:rPr>
          <w:rFonts w:ascii="Arial" w:hAnsi="Arial" w:eastAsia="Arial" w:cs="Arial"/>
          <w:color w:val="000000" w:themeColor="text1" w:themeTint="FF" w:themeShade="FF"/>
          <w:sz w:val="20"/>
          <w:szCs w:val="20"/>
          <w:lang w:val="en-US"/>
        </w:rPr>
        <w:t xml:space="preserve"> The DMN decision for ICS review and potential de-escalation is documented in Table S2c-4. The table captures the priority rule for pneumonia under ICS, the eosinophil-based de-escalation logic, and the asthma-protection rule.</w:t>
      </w:r>
    </w:p>
    <w:p w:rsidR="7F6EF22F" w:rsidP="51862C77" w:rsidRDefault="7F6EF22F" w14:paraId="1E954823" w14:textId="3678BBE3">
      <w:pPr>
        <w:pStyle w:val="Normal"/>
        <w:spacing w:line="240" w:lineRule="auto"/>
        <w:rPr>
          <w:rFonts w:ascii="Arial" w:hAnsi="Arial" w:eastAsia="Arial" w:cs="Arial"/>
          <w:color w:val="000000" w:themeColor="text1" w:themeTint="FF" w:themeShade="FF"/>
          <w:sz w:val="20"/>
          <w:szCs w:val="20"/>
        </w:rPr>
      </w:pPr>
    </w:p>
    <w:p w:rsidR="304B54B6" w:rsidP="51862C77" w:rsidRDefault="304B54B6" w14:paraId="7DBE52F1" w14:textId="27E14AA8">
      <w:pPr>
        <w:pStyle w:val="Normal"/>
        <w:spacing w:line="240" w:lineRule="auto"/>
        <w:rPr>
          <w:rFonts w:ascii="Arial" w:hAnsi="Arial" w:eastAsia="Arial" w:cs="Arial"/>
          <w:b w:val="1"/>
          <w:bCs w:val="1"/>
          <w:color w:val="000000" w:themeColor="text1" w:themeTint="FF" w:themeShade="FF"/>
          <w:sz w:val="20"/>
          <w:szCs w:val="20"/>
        </w:rPr>
      </w:pPr>
      <w:r w:rsidRPr="51862C77" w:rsidR="0E1EC504">
        <w:rPr>
          <w:rFonts w:ascii="Arial" w:hAnsi="Arial" w:eastAsia="Arial" w:cs="Arial"/>
          <w:b w:val="1"/>
          <w:bCs w:val="1"/>
          <w:color w:val="000000" w:themeColor="text1" w:themeTint="FF" w:themeShade="FF"/>
          <w:sz w:val="20"/>
          <w:szCs w:val="20"/>
        </w:rPr>
        <w:t>Table S2b-1. Logical blocks used for BPMN/DMN modelling of NVL COPD Section 3.3.</w:t>
      </w:r>
    </w:p>
    <w:tbl>
      <w:tblPr>
        <w:tblStyle w:val="TableGrid"/>
        <w:bidiVisual w:val="0"/>
        <w:tblW w:w="0" w:type="auto"/>
        <w:tblLook w:val="06A0" w:firstRow="1" w:lastRow="0" w:firstColumn="1" w:lastColumn="0" w:noHBand="1" w:noVBand="1"/>
      </w:tblPr>
      <w:tblGrid>
        <w:gridCol w:w="2133"/>
        <w:gridCol w:w="3441"/>
        <w:gridCol w:w="3441"/>
      </w:tblGrid>
      <w:tr w:rsidR="7F6EF22F" w:rsidTr="51862C77" w14:paraId="2CE15683">
        <w:trPr>
          <w:trHeight w:val="300"/>
        </w:trPr>
        <w:tc>
          <w:tcPr>
            <w:tcW w:w="2133" w:type="dxa"/>
            <w:tcBorders>
              <w:top w:val="single" w:sz="8"/>
              <w:left w:val="single" w:sz="8"/>
              <w:bottom w:val="single" w:sz="8"/>
              <w:right w:val="single" w:sz="8"/>
            </w:tcBorders>
            <w:tcMar>
              <w:left w:w="108" w:type="dxa"/>
              <w:right w:w="108" w:type="dxa"/>
            </w:tcMar>
            <w:vAlign w:val="top"/>
          </w:tcPr>
          <w:p w:rsidR="7F6EF22F" w:rsidP="51862C77" w:rsidRDefault="7F6EF22F" w14:paraId="29C0A01C" w14:textId="5EFDD355">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Logical block</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1C7D9D6B" w14:textId="04AEFFBF">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Source content</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15FCBCFA" w14:textId="71FE3D19">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BPMN / DMN relevance</w:t>
            </w:r>
          </w:p>
        </w:tc>
      </w:tr>
      <w:tr w:rsidR="7F6EF22F" w:rsidTr="51862C77" w14:paraId="3B683192">
        <w:trPr>
          <w:trHeight w:val="300"/>
        </w:trPr>
        <w:tc>
          <w:tcPr>
            <w:tcW w:w="2133" w:type="dxa"/>
            <w:tcBorders>
              <w:top w:val="single" w:sz="8"/>
              <w:left w:val="single" w:sz="8"/>
              <w:bottom w:val="single" w:sz="8"/>
              <w:right w:val="single" w:sz="8"/>
            </w:tcBorders>
            <w:tcMar>
              <w:left w:w="108" w:type="dxa"/>
              <w:right w:w="108" w:type="dxa"/>
            </w:tcMar>
            <w:vAlign w:val="top"/>
          </w:tcPr>
          <w:p w:rsidR="7F6EF22F" w:rsidP="51862C77" w:rsidRDefault="7F6EF22F" w14:paraId="035C6BB4" w14:textId="02B0FAF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1. Evidence base: no COPD-specific benefit evidence</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3924013E" w14:textId="1A01BF4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reports that no publications were found that investigated the effects of e-cigarettes specifically in patients with COPD.</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61315CF9" w14:textId="2E17165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supports a restrictive process model. E-cigarettes are not represented as a standard therapy.</w:t>
            </w:r>
          </w:p>
        </w:tc>
      </w:tr>
      <w:tr w:rsidR="7F6EF22F" w:rsidTr="51862C77" w14:paraId="45F6EDF8">
        <w:trPr>
          <w:trHeight w:val="300"/>
        </w:trPr>
        <w:tc>
          <w:tcPr>
            <w:tcW w:w="2133" w:type="dxa"/>
            <w:tcBorders>
              <w:top w:val="single" w:sz="8"/>
              <w:left w:val="single" w:sz="8"/>
              <w:bottom w:val="single" w:sz="8"/>
              <w:right w:val="single" w:sz="8"/>
            </w:tcBorders>
            <w:tcMar>
              <w:left w:w="108" w:type="dxa"/>
              <w:right w:w="108" w:type="dxa"/>
            </w:tcMar>
            <w:vAlign w:val="top"/>
          </w:tcPr>
          <w:p w:rsidR="7F6EF22F" w:rsidP="51862C77" w:rsidRDefault="7F6EF22F" w14:paraId="3D8465C7" w14:textId="2812260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2. Risk and harm profile</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10651824" w14:textId="4B1FEF8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describes potential adverse effects, variable product composition, potentially toxic emissions, cardiovascular effects, and additional risk from dual use.</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4AABE619" w14:textId="6189973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supports the BPMN task 'Counsel patient about known risks' and the monitoring tasks for adverse effects and health risks.</w:t>
            </w:r>
          </w:p>
        </w:tc>
      </w:tr>
      <w:tr w:rsidR="7F6EF22F" w:rsidTr="51862C77" w14:paraId="531B127D">
        <w:trPr>
          <w:trHeight w:val="300"/>
        </w:trPr>
        <w:tc>
          <w:tcPr>
            <w:tcW w:w="2133" w:type="dxa"/>
            <w:tcBorders>
              <w:top w:val="single" w:sz="8"/>
              <w:left w:val="single" w:sz="8"/>
              <w:bottom w:val="single" w:sz="8"/>
              <w:right w:val="single" w:sz="8"/>
            </w:tcBorders>
            <w:tcMar>
              <w:left w:w="108" w:type="dxa"/>
              <w:right w:w="108" w:type="dxa"/>
            </w:tcMar>
            <w:vAlign w:val="top"/>
          </w:tcPr>
          <w:p w:rsidR="7F6EF22F" w:rsidP="51862C77" w:rsidRDefault="7F6EF22F" w14:paraId="64F6A105" w14:textId="4A063DE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3. Guideline position: not a primary cessation attempt</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035403C9" w14:textId="033D106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Because of insufficient evidence and uncertain long-term effects, the guideline group does not consider e-cigarettes an option for a primary cessation attempt.</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0C0D7C51" w14:textId="7C9D2A6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supports the gateway 'Primary cessation attempt?' and the exclusion path ending with 'E-cigarette not initiated as primary cessation attempt'.</w:t>
            </w:r>
          </w:p>
        </w:tc>
      </w:tr>
      <w:tr w:rsidR="7F6EF22F" w:rsidTr="51862C77" w14:paraId="716A52DF">
        <w:trPr>
          <w:trHeight w:val="300"/>
        </w:trPr>
        <w:tc>
          <w:tcPr>
            <w:tcW w:w="2133" w:type="dxa"/>
            <w:tcBorders>
              <w:top w:val="single" w:sz="8"/>
              <w:left w:val="single" w:sz="8"/>
              <w:bottom w:val="single" w:sz="8"/>
              <w:right w:val="single" w:sz="8"/>
            </w:tcBorders>
            <w:tcMar>
              <w:left w:w="108" w:type="dxa"/>
              <w:right w:w="108" w:type="dxa"/>
            </w:tcMar>
            <w:vAlign w:val="top"/>
          </w:tcPr>
          <w:p w:rsidR="7F6EF22F" w:rsidP="51862C77" w:rsidRDefault="7F6EF22F" w14:paraId="27B59252" w14:textId="179BF2D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4. Exception pathway: only under prerequisites</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35CE894C" w14:textId="3B8BE5F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e-cigarettes are considered to support tobacco abstinence, the guideline requires documented failure or refusal of other evidence-based measures, risk counselling, simultaneous cessation of tobacco use, and continuous medical monitoring and support.</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72DF2665" w14:textId="294CA62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supports the prerequisite assessment sub-process and the DMN decision 'Determine e-cigarette eligibility'.</w:t>
            </w:r>
          </w:p>
        </w:tc>
      </w:tr>
      <w:tr w:rsidR="7F6EF22F" w:rsidTr="51862C77" w14:paraId="5E499710">
        <w:trPr>
          <w:trHeight w:val="300"/>
        </w:trPr>
        <w:tc>
          <w:tcPr>
            <w:tcW w:w="2133" w:type="dxa"/>
            <w:tcBorders>
              <w:top w:val="single" w:sz="8"/>
              <w:left w:val="single" w:sz="8"/>
              <w:bottom w:val="single" w:sz="8"/>
              <w:right w:val="single" w:sz="8"/>
            </w:tcBorders>
            <w:tcMar>
              <w:left w:w="108" w:type="dxa"/>
              <w:right w:w="108" w:type="dxa"/>
            </w:tcMar>
            <w:vAlign w:val="top"/>
          </w:tcPr>
          <w:p w:rsidR="7F6EF22F" w:rsidP="51862C77" w:rsidRDefault="7F6EF22F" w14:paraId="64BA0C3C" w14:textId="3D031BF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5. Behavioural counselling and nicotine-content information</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2A5BA8A0" w14:textId="28AFA05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states that e-cigarette therapy should ideally include behavioural counselling and notes that nicotine content must be labelled.</w:t>
            </w:r>
          </w:p>
        </w:tc>
        <w:tc>
          <w:tcPr>
            <w:tcW w:w="3441" w:type="dxa"/>
            <w:tcBorders>
              <w:top w:val="single" w:sz="8"/>
              <w:left w:val="single" w:sz="8"/>
              <w:bottom w:val="single" w:sz="8"/>
              <w:right w:val="single" w:sz="8"/>
            </w:tcBorders>
            <w:tcMar>
              <w:left w:w="108" w:type="dxa"/>
              <w:right w:w="108" w:type="dxa"/>
            </w:tcMar>
            <w:vAlign w:val="top"/>
          </w:tcPr>
          <w:p w:rsidR="7F6EF22F" w:rsidP="51862C77" w:rsidRDefault="7F6EF22F" w14:paraId="3A63A553" w14:textId="7E58611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Behavioural counselling was modelled as an additional supportive component. The nicotine-content note can be used as an annotation for counselling or monitoring, but not as a separate decision point.</w:t>
            </w:r>
          </w:p>
        </w:tc>
      </w:tr>
    </w:tbl>
    <w:p w:rsidR="7F6EF22F" w:rsidP="51862C77" w:rsidRDefault="7F6EF22F" w14:paraId="51DA5048" w14:textId="6BCA8CB7">
      <w:pPr>
        <w:pStyle w:val="Normal"/>
        <w:spacing w:line="240" w:lineRule="auto"/>
        <w:rPr>
          <w:rFonts w:ascii="Arial" w:hAnsi="Arial" w:eastAsia="Arial" w:cs="Arial"/>
          <w:color w:val="000000" w:themeColor="text1" w:themeTint="FF" w:themeShade="FF"/>
        </w:rPr>
      </w:pPr>
    </w:p>
    <w:p w:rsidR="07A98B6D" w:rsidP="51862C77" w:rsidRDefault="07A98B6D" w14:paraId="70E65D11" w14:textId="1D7A840B">
      <w:pPr>
        <w:pStyle w:val="Normal"/>
        <w:spacing w:line="240" w:lineRule="auto"/>
        <w:rPr>
          <w:rFonts w:ascii="Arial" w:hAnsi="Arial" w:eastAsia="Arial" w:cs="Arial"/>
          <w:b w:val="1"/>
          <w:bCs w:val="1"/>
          <w:color w:val="000000" w:themeColor="text1" w:themeTint="FF" w:themeShade="FF"/>
          <w:sz w:val="20"/>
          <w:szCs w:val="20"/>
        </w:rPr>
      </w:pPr>
      <w:r w:rsidRPr="51862C77" w:rsidR="403D3967">
        <w:rPr>
          <w:rFonts w:ascii="Arial" w:hAnsi="Arial" w:eastAsia="Arial" w:cs="Arial"/>
          <w:b w:val="1"/>
          <w:bCs w:val="1"/>
          <w:color w:val="000000" w:themeColor="text1" w:themeTint="FF" w:themeShade="FF"/>
          <w:sz w:val="20"/>
          <w:szCs w:val="20"/>
        </w:rPr>
        <w:t>Table S2b-2. BPMN modelling decisions for NVL COPD Section 3.3.</w:t>
      </w:r>
    </w:p>
    <w:tbl>
      <w:tblPr>
        <w:tblStyle w:val="TableGrid"/>
        <w:bidiVisual w:val="0"/>
        <w:tblW w:w="9014" w:type="dxa"/>
        <w:tblLook w:val="06A0" w:firstRow="1" w:lastRow="0" w:firstColumn="1" w:lastColumn="0" w:noHBand="1" w:noVBand="1"/>
      </w:tblPr>
      <w:tblGrid>
        <w:gridCol w:w="1878"/>
        <w:gridCol w:w="1878"/>
        <w:gridCol w:w="2146"/>
        <w:gridCol w:w="3112"/>
      </w:tblGrid>
      <w:tr w:rsidR="7F6EF22F" w:rsidTr="52C55E83" w14:paraId="2C158604">
        <w:trPr>
          <w:trHeight w:val="300"/>
        </w:trPr>
        <w:tc>
          <w:tcPr>
            <w:tcW w:w="1878" w:type="dxa"/>
            <w:tcBorders>
              <w:top w:val="single" w:sz="8"/>
              <w:left w:val="single" w:sz="8"/>
              <w:bottom w:val="single" w:sz="8"/>
              <w:right w:val="single" w:sz="8"/>
            </w:tcBorders>
            <w:tcMar>
              <w:left w:w="108" w:type="dxa"/>
              <w:right w:w="108" w:type="dxa"/>
            </w:tcMar>
            <w:vAlign w:val="top"/>
          </w:tcPr>
          <w:p w:rsidR="64EE3538" w:rsidP="52C55E83" w:rsidRDefault="64EE3538" w14:paraId="6255C2B9" w14:textId="2D4F43B5">
            <w:pPr>
              <w:spacing w:before="0" w:beforeAutospacing="off" w:after="0" w:afterAutospacing="off" w:line="240" w:lineRule="auto"/>
              <w:jc w:val="center"/>
              <w:rPr>
                <w:rFonts w:ascii="Arial" w:hAnsi="Arial" w:eastAsia="Arial" w:cs="Arial"/>
                <w:b w:val="1"/>
                <w:bCs w:val="1"/>
                <w:sz w:val="18"/>
                <w:szCs w:val="18"/>
                <w:lang w:val="en-US"/>
              </w:rPr>
            </w:pPr>
            <w:r w:rsidRPr="52C55E83" w:rsidR="64EE3538">
              <w:rPr>
                <w:rFonts w:ascii="Arial" w:hAnsi="Arial" w:eastAsia="Arial" w:cs="Arial"/>
                <w:b w:val="1"/>
                <w:bCs w:val="1"/>
                <w:sz w:val="18"/>
                <w:szCs w:val="18"/>
                <w:lang w:val="en-US"/>
              </w:rPr>
              <w:t>Original quote</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7F444D51" w14:textId="76EFF8E0">
            <w:pPr>
              <w:spacing w:before="0" w:beforeAutospacing="off" w:after="0" w:afterAutospacing="off" w:line="240" w:lineRule="auto"/>
              <w:jc w:val="center"/>
            </w:pPr>
            <w:r w:rsidRPr="52C55E83" w:rsidR="64EE3538">
              <w:rPr>
                <w:rFonts w:ascii="Arial" w:hAnsi="Arial" w:eastAsia="Arial" w:cs="Arial"/>
                <w:b w:val="1"/>
                <w:bCs w:val="1"/>
                <w:sz w:val="18"/>
                <w:szCs w:val="18"/>
                <w:lang w:val="en-US"/>
              </w:rPr>
              <w:t>Translation into English</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0766FFCA" w14:textId="386B9DFB">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Modelling issue</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108E465F" w14:textId="4E7461AE">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Modelling decision</w:t>
            </w:r>
          </w:p>
        </w:tc>
      </w:tr>
      <w:tr w:rsidR="7F6EF22F" w:rsidTr="52C55E83" w14:paraId="6EC39631">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790AE4F3" w14:textId="183931ED">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„Gleichwohl ist der Leitliniengruppe bewusst, dass manche Raucher*innen dieses Produkt nutzen, um ihren Tabakkonsum zu beenden.“</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3A91B220" w14:textId="055310B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acknowledges that some smokers use e-cigarettes to stop tobacco use.</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2C00A299" w14:textId="0F17639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It is unclear whether the process is triggered by the patient or by the physician.</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6826A255" w14:textId="0AFB94B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process starts in the patient pool with 'Patient considers e-cigarette use for smoking cessation' and a message event communicating interest. The patient pool is kept simple because the section does not describe further patient actions.</w:t>
            </w:r>
          </w:p>
        </w:tc>
      </w:tr>
      <w:tr w:rsidR="7F6EF22F" w:rsidTr="52C55E83" w14:paraId="44337F47">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5F3B5EDC" w14:textId="5B9B7652">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„Falls der Einsatz der E-Zigarette zur Unterstützung der Tabakabstinenz erwogen wird [...]“</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20649D4F" w14:textId="72C88DB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the use of e-cigarettes to support tobacco abstinence is considered...</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4ADC36EE" w14:textId="32A354E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does not define an explicit trigger for the start of the clinical assessment.</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737E724C" w14:textId="32C42B0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message flow from the patient pool to the healthcare provider pool starts the physician process with 'Request for counselling received'. This makes the counselling trigger visible.</w:t>
            </w:r>
          </w:p>
        </w:tc>
      </w:tr>
      <w:tr w:rsidR="7F6EF22F" w:rsidTr="52C55E83" w14:paraId="3F343213">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6446F5F7" w14:textId="66CC2C69">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„Aufgrund der aktuell unzureichenden Datenlage [...] sieht die Leitliniengruppe in der E-Zigarette keine Option für einen primären Entwöhnungsversuch.“</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3129E61E" w14:textId="69B2714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does not consider e-cigarettes an option for a primary cessation attempt.</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50007E8A" w14:textId="2AF21F2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distinction between a primary cessation attempt and exceptional supportive use had to be formalised.</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5930A290" w14:textId="0943DBD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physician task 'Clarify intended role of e-cigarette' is followed by the exclusive gateway 'Primary cessation attempt?'. The gateway is exclusive because only one path can apply.</w:t>
            </w:r>
          </w:p>
        </w:tc>
      </w:tr>
      <w:tr w:rsidR="7F6EF22F" w:rsidTr="52C55E83" w14:paraId="5F41DE20">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6A5571AD" w14:textId="4A9F6CE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sieht die Leitliniengruppe in der E-Zigarette keine Option für einen primären Entwöhnungsversuch.“</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619FF376" w14:textId="457880E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does not consider e-cigarettes an option for a primary cessation attempt.</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1CE494E2" w14:textId="5468281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It is unclear whether an alternative cessation process should be modelled after rejecting e-cigarette use.</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60F57D6B" w14:textId="7D804F7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yes-path ends with 'Recommend against primary e-cigarette cessation attempt' and the end event 'E-cigarette not initiated as primary cessation attempt'. Alternative cessation measures are outside Section 3.3.</w:t>
            </w:r>
          </w:p>
        </w:tc>
      </w:tr>
      <w:tr w:rsidR="7F6EF22F" w:rsidTr="52C55E83" w14:paraId="4A24BB3C">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7205C76C" w14:textId="55E933D5">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„Falls der Einsatz der E-Zigarette zur Unterstützung der Tabakabstinenz erwogen wird, dann nur unter folgenden Voraussetzungen:“</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769FF032" w14:textId="0677FE8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e-cigarettes are considered, then only under the following prerequisites...</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430F2627" w14:textId="6C0DC27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prerequisites are listed, but not defined as an explicit process sequence.</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53C14AB7" w14:textId="254DBCD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no-path from the primary attempt gateway leads to an expanded sub-process 'Assess prerequisites for e-cigarette-supported abstinence'. The sub-process groups the prerequisites without implying that the guideline defines this exact sequence.</w:t>
            </w:r>
          </w:p>
        </w:tc>
      </w:tr>
      <w:tr w:rsidR="7F6EF22F" w:rsidTr="52C55E83" w14:paraId="3BF3C204">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00F1DDD8" w14:textId="39550F93">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dokumentiertem Versagen oder Ablehnung anderer evidenzbasierter Maßnahmen,“</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466E0F11" w14:textId="0ACAE77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Documented failure or refusal of other evidence-based measures.</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7F8AF229" w14:textId="5FF6A3A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guideline does not specify how or where documented failure or refusal is technically verified.</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79BB3321" w14:textId="76D3295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user task 'Check documented failure or refusal of evidence-based measures' was included. The condition is also checked in DMN as a Boolean input.</w:t>
            </w:r>
          </w:p>
        </w:tc>
      </w:tr>
      <w:tr w:rsidR="7F6EF22F" w:rsidTr="52C55E83" w14:paraId="53E4F08E">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3D679B71" w14:textId="56898E0F">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„nach Aufklärung über bekannte Risiken,“</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7387DAB6" w14:textId="5F03889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After counselling about known risks.</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2769846D" w14:textId="68DC13E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Risk counselling is mandatory, but its exact content and scope are not fully operationalised.</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49DCA2AE" w14:textId="35AD85F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user task 'Counsel patient about known risks' was included. The task is mandatory, but the detailed content remains based on the risk description in the guideline.</w:t>
            </w:r>
          </w:p>
        </w:tc>
      </w:tr>
      <w:tr w:rsidR="7F6EF22F" w:rsidTr="52C55E83" w14:paraId="1CC1A693">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5E1C6235" w14:textId="43632428">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gleichzeitiger Beendigung des Tabakkonsums und“</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433D89EE" w14:textId="4AED945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With simultaneous termination of tobacco use.</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19918449" w14:textId="5CF45A6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Dual use is described as a risk, but not as a separate algorithmic decision node.</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27C633E1" w14:textId="437A74F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user task 'Confirm simultaneous termination of tobacco use' was included to exclude parallel use of tobacco cigarettes and e-cigarettes.</w:t>
            </w:r>
          </w:p>
        </w:tc>
      </w:tr>
      <w:tr w:rsidR="7F6EF22F" w:rsidTr="52C55E83" w14:paraId="01ABF8A8">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2A4A04CD" w14:textId="0C836AE9">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kontinuierlichem ärztlichem Monitoring und Begleitung.“</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44489A01" w14:textId="36DE70A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With continuous medical monitoring and support.</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6ABD920A" w14:textId="3D66D0A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Monitoring is required, but interval, duration, stopping rules, and outcome criteria are not specified.</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02FA47D1" w14:textId="2106DA4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task 'Plan continuous medical monitoring and support' was included, followed by a monitoring sub-process. Time intervals and stopping criteria remain documented modelling assumptions.</w:t>
            </w:r>
          </w:p>
        </w:tc>
      </w:tr>
      <w:tr w:rsidR="7F6EF22F" w:rsidTr="52C55E83" w14:paraId="1DCB6C54">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022A3A8E" w14:textId="4FF528AB">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„Falls der Einsatz [...] erwogen wird, dann nur unter folgenden Voraussetzungen: [...]“</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78CEA477" w14:textId="56522CF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Only under the following prerequisites...</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4AA8038E" w14:textId="47801DA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four prerequisites form an AND logic, but representing all of them as BPMN gateways would make the process difficult to read.</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71552790" w14:textId="172927B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eligibility decision was moved to DMN. BPMN represents the process flow, while DMN represents the strict AND logic of the mandatory prerequisites.</w:t>
            </w:r>
          </w:p>
        </w:tc>
      </w:tr>
      <w:tr w:rsidR="7F6EF22F" w:rsidTr="52C55E83" w14:paraId="6E7BE11E">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49DDE9A4" w14:textId="1E3E5B8F">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„Falls der Einsatz der E-Zigarette zur Unterstützung der Tabakabstinenz erwogen wird, dann nur unter folgenden Voraussetzungen:“</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17469765" w14:textId="76139A5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Only under the following prerequisites...</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0D93C651" w14:textId="1575EC1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negative decision path must be explicit because e-cigarette use is allowed to be considered only when all prerequisites are met.</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28DF25A8" w14:textId="3FED9C6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the DMN decision is negative, BPMN routes to 'Do not initiate e-cigarette-supported abstinence' and the end event 'E-cigarette not initiated'.</w:t>
            </w:r>
          </w:p>
        </w:tc>
      </w:tr>
      <w:tr w:rsidR="7F6EF22F" w:rsidTr="52C55E83" w14:paraId="0822AA73">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48BCA4A5" w14:textId="3C10CCBA">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„Falls der Einsatz der E-Zigarette zur Unterstützung der Tabakabstinenz erwogen wird, dann nur unter folgenden Voraussetzungen:“</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2AD197CD" w14:textId="7A6198F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Only under the following prerequisites...</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680FB879" w14:textId="1121651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After a positive DMN decision, BPMN needs a visible transition from prerequisite assessment to monitored use.</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6BB8AAA7" w14:textId="6A2EC47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all prerequisites are fulfilled, the task 'Initiate monitored e-cigarette abstinence' is used. 'Monitored' indicates that use is linked to medical monitoring and support.</w:t>
            </w:r>
          </w:p>
        </w:tc>
      </w:tr>
      <w:tr w:rsidR="7F6EF22F" w:rsidTr="52C55E83" w14:paraId="2839A311">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2158A6F0" w14:textId="48F961C7">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„Idealerweise bedarf die Therapie mittels E-Zigarette einer verhaltenstherapeutischen Beratung.“</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34B915E9" w14:textId="5CE9AD5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E-cigarette therapy should ideally include behavioural counselling.</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45E6DD0D" w14:textId="7E3088D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wording 'ideally' is weaker than the mandatory prerequisites, so it was unclear whether counselling should be a required condition.</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45E0BCF9" w14:textId="4E6979A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Behavioural counselling was modelled as a collapsed sub-process and annotated as recommended, not as a mandatory eligibility criterion.</w:t>
            </w:r>
          </w:p>
        </w:tc>
      </w:tr>
      <w:tr w:rsidR="7F6EF22F" w:rsidTr="52C55E83" w14:paraId="55665957">
        <w:trPr>
          <w:trHeight w:val="300"/>
        </w:trPr>
        <w:tc>
          <w:tcPr>
            <w:tcW w:w="1878" w:type="dxa"/>
            <w:tcBorders>
              <w:top w:val="single" w:sz="8"/>
              <w:left w:val="single" w:sz="8"/>
              <w:bottom w:val="single" w:sz="8"/>
              <w:right w:val="single" w:sz="8"/>
            </w:tcBorders>
            <w:tcMar>
              <w:left w:w="108" w:type="dxa"/>
              <w:right w:w="108" w:type="dxa"/>
            </w:tcMar>
            <w:vAlign w:val="top"/>
          </w:tcPr>
          <w:p w:rsidR="52C55E83" w:rsidP="52C55E83" w:rsidRDefault="52C55E83" w14:paraId="5BF535C3" w14:textId="583D21ED">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kontinuierlichem ärztlichem Monitoring und Begleitung.“</w:t>
            </w:r>
          </w:p>
        </w:tc>
        <w:tc>
          <w:tcPr>
            <w:tcW w:w="1878" w:type="dxa"/>
            <w:tcBorders>
              <w:top w:val="single" w:sz="8"/>
              <w:left w:val="single" w:sz="8"/>
              <w:bottom w:val="single" w:sz="8"/>
              <w:right w:val="single" w:sz="8"/>
            </w:tcBorders>
            <w:tcMar>
              <w:left w:w="108" w:type="dxa"/>
              <w:right w:w="108" w:type="dxa"/>
            </w:tcMar>
            <w:vAlign w:val="top"/>
          </w:tcPr>
          <w:p w:rsidR="7F6EF22F" w:rsidP="51862C77" w:rsidRDefault="7F6EF22F" w14:paraId="07A6EF7D" w14:textId="34692EB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Continuous medical monitoring and support.</w:t>
            </w:r>
          </w:p>
        </w:tc>
        <w:tc>
          <w:tcPr>
            <w:tcW w:w="2146" w:type="dxa"/>
            <w:tcBorders>
              <w:top w:val="single" w:sz="8"/>
              <w:left w:val="single" w:sz="8"/>
              <w:bottom w:val="single" w:sz="8"/>
              <w:right w:val="single" w:sz="8"/>
            </w:tcBorders>
            <w:tcMar>
              <w:left w:w="108" w:type="dxa"/>
              <w:right w:w="108" w:type="dxa"/>
            </w:tcMar>
            <w:vAlign w:val="top"/>
          </w:tcPr>
          <w:p w:rsidR="7F6EF22F" w:rsidP="51862C77" w:rsidRDefault="7F6EF22F" w14:paraId="0DB4A385" w14:textId="255FFDA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It is unclear when monitoring ends and which outcomes should trigger continuation or discontinuation.</w:t>
            </w:r>
          </w:p>
        </w:tc>
        <w:tc>
          <w:tcPr>
            <w:tcW w:w="3112" w:type="dxa"/>
            <w:tcBorders>
              <w:top w:val="single" w:sz="8"/>
              <w:left w:val="single" w:sz="8"/>
              <w:bottom w:val="single" w:sz="8"/>
              <w:right w:val="single" w:sz="8"/>
            </w:tcBorders>
            <w:tcMar>
              <w:left w:w="108" w:type="dxa"/>
              <w:right w:w="108" w:type="dxa"/>
            </w:tcMar>
            <w:vAlign w:val="top"/>
          </w:tcPr>
          <w:p w:rsidR="7F6EF22F" w:rsidP="51862C77" w:rsidRDefault="7F6EF22F" w14:paraId="27FCBE1A" w14:textId="6EE5586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looping monitoring sub-process was modelled with scheduled follow-up, review of tobacco abstinence and e-cigarette use, adverse-effect assessment, and medical support. Follow-up intervals and outcome criteria remain assumptions.</w:t>
            </w:r>
          </w:p>
        </w:tc>
      </w:tr>
    </w:tbl>
    <w:p w:rsidR="7F6EF22F" w:rsidP="51862C77" w:rsidRDefault="7F6EF22F" w14:paraId="202DFD34" w14:textId="509A235C">
      <w:pPr>
        <w:pStyle w:val="Normal"/>
        <w:spacing w:line="240" w:lineRule="auto"/>
        <w:rPr>
          <w:rFonts w:ascii="Arial" w:hAnsi="Arial" w:eastAsia="Arial" w:cs="Arial"/>
          <w:color w:val="000000" w:themeColor="text1" w:themeTint="FF" w:themeShade="FF"/>
        </w:rPr>
      </w:pPr>
    </w:p>
    <w:p w:rsidR="216A0F16" w:rsidP="51862C77" w:rsidRDefault="216A0F16" w14:paraId="1006BA6D" w14:textId="552785E3">
      <w:pPr>
        <w:pStyle w:val="Normal"/>
        <w:spacing w:line="240" w:lineRule="auto"/>
      </w:pPr>
      <w:r w:rsidRPr="51862C77" w:rsidR="16C78A73">
        <w:rPr>
          <w:rFonts w:ascii="Arial" w:hAnsi="Arial" w:eastAsia="Arial" w:cs="Arial"/>
          <w:color w:val="000000" w:themeColor="text1" w:themeTint="FF" w:themeShade="FF"/>
          <w:sz w:val="20"/>
          <w:szCs w:val="20"/>
          <w:lang w:val="en-US"/>
        </w:rPr>
        <w:t>Note: Although the primary cessation attempt is already excluded in the BPMN model, it was also included in the DMN table as the first exclusion rule. This was done to keep the eligibility logic complete and understandable as a standalone decision table. The</w:t>
      </w:r>
      <w:r w:rsidRPr="51862C77" w:rsidR="0088FD35">
        <w:rPr>
          <w:rFonts w:ascii="Arial" w:hAnsi="Arial" w:eastAsia="Arial" w:cs="Arial"/>
          <w:color w:val="000000" w:themeColor="text1" w:themeTint="FF" w:themeShade="FF"/>
          <w:sz w:val="20"/>
          <w:szCs w:val="20"/>
          <w:lang w:val="en-US"/>
        </w:rPr>
        <w:t xml:space="preserve"> </w:t>
      </w:r>
      <w:r w:rsidRPr="51862C77" w:rsidR="16C78A73">
        <w:rPr>
          <w:rFonts w:ascii="Arial" w:hAnsi="Arial" w:eastAsia="Arial" w:cs="Arial"/>
          <w:color w:val="000000" w:themeColor="text1" w:themeTint="FF" w:themeShade="FF"/>
          <w:sz w:val="20"/>
          <w:szCs w:val="20"/>
          <w:lang w:val="en-US"/>
        </w:rPr>
        <w:t xml:space="preserve">variable </w:t>
      </w:r>
      <w:r w:rsidRPr="51862C77" w:rsidR="16C78A73">
        <w:rPr>
          <w:rFonts w:ascii="Arial" w:hAnsi="Arial" w:eastAsia="Arial" w:cs="Arial"/>
          <w:color w:val="000000" w:themeColor="text1" w:themeTint="FF" w:themeShade="FF"/>
          <w:sz w:val="20"/>
          <w:szCs w:val="20"/>
          <w:lang w:val="en-US"/>
        </w:rPr>
        <w:t>primary_cessation_attempt</w:t>
      </w:r>
      <w:r w:rsidRPr="51862C77" w:rsidR="16C78A73">
        <w:rPr>
          <w:rFonts w:ascii="Arial" w:hAnsi="Arial" w:eastAsia="Arial" w:cs="Arial"/>
          <w:color w:val="000000" w:themeColor="text1" w:themeTint="FF" w:themeShade="FF"/>
          <w:sz w:val="20"/>
          <w:szCs w:val="20"/>
          <w:lang w:val="en-US"/>
        </w:rPr>
        <w:t xml:space="preserve"> therefore acts as an </w:t>
      </w:r>
      <w:r w:rsidRPr="51862C77" w:rsidR="16C78A73">
        <w:rPr>
          <w:rFonts w:ascii="Arial" w:hAnsi="Arial" w:eastAsia="Arial" w:cs="Arial"/>
          <w:color w:val="000000" w:themeColor="text1" w:themeTint="FF" w:themeShade="FF"/>
          <w:sz w:val="20"/>
          <w:szCs w:val="20"/>
          <w:lang w:val="en-US"/>
        </w:rPr>
        <w:t>additional</w:t>
      </w:r>
      <w:r w:rsidRPr="51862C77" w:rsidR="16C78A73">
        <w:rPr>
          <w:rFonts w:ascii="Arial" w:hAnsi="Arial" w:eastAsia="Arial" w:cs="Arial"/>
          <w:color w:val="000000" w:themeColor="text1" w:themeTint="FF" w:themeShade="FF"/>
          <w:sz w:val="20"/>
          <w:szCs w:val="20"/>
          <w:lang w:val="en-US"/>
        </w:rPr>
        <w:t xml:space="preserve"> safeguard in the DMN model, even though the same question is already represented earlier as a BPMN gateway.</w:t>
      </w:r>
    </w:p>
    <w:p w:rsidR="7F6EF22F" w:rsidP="51862C77" w:rsidRDefault="7F6EF22F" w14:paraId="775018DF" w14:textId="7BAACD1D">
      <w:pPr>
        <w:pStyle w:val="Normal"/>
        <w:spacing w:line="240" w:lineRule="auto"/>
        <w:rPr>
          <w:rFonts w:ascii="Arial" w:hAnsi="Arial" w:eastAsia="Arial" w:cs="Arial"/>
          <w:color w:val="000000" w:themeColor="text1" w:themeTint="FF" w:themeShade="FF"/>
          <w:lang w:val="en-US"/>
        </w:rPr>
      </w:pPr>
    </w:p>
    <w:p w:rsidR="5BCE41D7" w:rsidP="51862C77" w:rsidRDefault="5BCE41D7" w14:paraId="21BF54F1" w14:textId="1C4839FE">
      <w:pPr>
        <w:pStyle w:val="Normal"/>
        <w:spacing w:line="240" w:lineRule="auto"/>
        <w:rPr>
          <w:rFonts w:ascii="Arial" w:hAnsi="Arial" w:eastAsia="Arial" w:cs="Arial"/>
          <w:b w:val="1"/>
          <w:bCs w:val="1"/>
          <w:color w:val="000000" w:themeColor="text1" w:themeTint="FF" w:themeShade="FF"/>
          <w:sz w:val="20"/>
          <w:szCs w:val="20"/>
          <w:lang w:val="en-US"/>
        </w:rPr>
      </w:pPr>
      <w:r w:rsidRPr="51862C77" w:rsidR="16C789D7">
        <w:rPr>
          <w:rFonts w:ascii="Arial" w:hAnsi="Arial" w:eastAsia="Arial" w:cs="Arial"/>
          <w:b w:val="1"/>
          <w:bCs w:val="1"/>
          <w:color w:val="000000" w:themeColor="text1" w:themeTint="FF" w:themeShade="FF"/>
          <w:sz w:val="20"/>
          <w:szCs w:val="20"/>
          <w:lang w:val="en-US"/>
        </w:rPr>
        <w:t>Table S</w:t>
      </w:r>
      <w:r w:rsidRPr="51862C77" w:rsidR="62CE53A2">
        <w:rPr>
          <w:rFonts w:ascii="Arial" w:hAnsi="Arial" w:eastAsia="Arial" w:cs="Arial"/>
          <w:b w:val="1"/>
          <w:bCs w:val="1"/>
          <w:color w:val="000000" w:themeColor="text1" w:themeTint="FF" w:themeShade="FF"/>
          <w:sz w:val="20"/>
          <w:szCs w:val="20"/>
          <w:lang w:val="en-US"/>
        </w:rPr>
        <w:t>2</w:t>
      </w:r>
      <w:r w:rsidRPr="51862C77" w:rsidR="16C789D7">
        <w:rPr>
          <w:rFonts w:ascii="Arial" w:hAnsi="Arial" w:eastAsia="Arial" w:cs="Arial"/>
          <w:b w:val="1"/>
          <w:bCs w:val="1"/>
          <w:color w:val="000000" w:themeColor="text1" w:themeTint="FF" w:themeShade="FF"/>
          <w:sz w:val="20"/>
          <w:szCs w:val="20"/>
          <w:lang w:val="en-US"/>
        </w:rPr>
        <w:t>b-3. DMN eligibility rules for e-cigarette-supported tobacco abstinence in NVL COPD Section 3.3.</w:t>
      </w:r>
    </w:p>
    <w:tbl>
      <w:tblPr>
        <w:tblStyle w:val="TableGrid"/>
        <w:bidiVisual w:val="0"/>
        <w:tblW w:w="9015" w:type="dxa"/>
        <w:tblLook w:val="06A0" w:firstRow="1" w:lastRow="0" w:firstColumn="1" w:lastColumn="0" w:noHBand="1" w:noVBand="1"/>
      </w:tblPr>
      <w:tblGrid>
        <w:gridCol w:w="1564"/>
        <w:gridCol w:w="1564"/>
        <w:gridCol w:w="1748"/>
        <w:gridCol w:w="1050"/>
        <w:gridCol w:w="1380"/>
        <w:gridCol w:w="1709"/>
      </w:tblGrid>
      <w:tr w:rsidR="7F6EF22F" w:rsidTr="52C55E83" w14:paraId="09F4F9DE">
        <w:trPr>
          <w:trHeight w:val="300"/>
        </w:trPr>
        <w:tc>
          <w:tcPr>
            <w:tcW w:w="1564" w:type="dxa"/>
            <w:tcBorders>
              <w:top w:val="single" w:sz="8"/>
              <w:left w:val="single" w:sz="8"/>
              <w:bottom w:val="single" w:sz="8"/>
              <w:right w:val="single" w:sz="8"/>
            </w:tcBorders>
            <w:tcMar>
              <w:left w:w="108" w:type="dxa"/>
              <w:right w:w="108" w:type="dxa"/>
            </w:tcMar>
            <w:vAlign w:val="top"/>
          </w:tcPr>
          <w:p w:rsidR="399FBCA5" w:rsidP="52C55E83" w:rsidRDefault="399FBCA5" w14:paraId="466C1E64" w14:textId="5204B7AB">
            <w:pPr>
              <w:spacing w:before="0" w:beforeAutospacing="off" w:after="0" w:afterAutospacing="off" w:line="240" w:lineRule="auto"/>
              <w:jc w:val="center"/>
              <w:rPr>
                <w:rFonts w:ascii="Arial" w:hAnsi="Arial" w:eastAsia="Arial" w:cs="Arial"/>
                <w:b w:val="1"/>
                <w:bCs w:val="1"/>
                <w:sz w:val="18"/>
                <w:szCs w:val="18"/>
                <w:lang w:val="en-US"/>
              </w:rPr>
            </w:pPr>
            <w:r w:rsidRPr="52C55E83" w:rsidR="399FBCA5">
              <w:rPr>
                <w:rFonts w:ascii="Arial" w:hAnsi="Arial" w:eastAsia="Arial" w:cs="Arial"/>
                <w:b w:val="1"/>
                <w:bCs w:val="1"/>
                <w:sz w:val="18"/>
                <w:szCs w:val="18"/>
                <w:lang w:val="en-US"/>
              </w:rPr>
              <w:t>Original quote</w:t>
            </w:r>
          </w:p>
        </w:tc>
        <w:tc>
          <w:tcPr>
            <w:tcW w:w="1564" w:type="dxa"/>
            <w:tcBorders>
              <w:top w:val="single" w:sz="8"/>
              <w:left w:val="single" w:sz="8"/>
              <w:bottom w:val="single" w:sz="8"/>
              <w:right w:val="single" w:sz="8"/>
            </w:tcBorders>
            <w:tcMar>
              <w:left w:w="108" w:type="dxa"/>
              <w:right w:w="108" w:type="dxa"/>
            </w:tcMar>
            <w:vAlign w:val="top"/>
          </w:tcPr>
          <w:p w:rsidR="7F6EF22F" w:rsidP="51862C77" w:rsidRDefault="7F6EF22F" w14:paraId="6C480993" w14:textId="3F5E4978">
            <w:pPr>
              <w:spacing w:before="0" w:beforeAutospacing="off" w:after="0" w:afterAutospacing="off" w:line="240" w:lineRule="auto"/>
              <w:jc w:val="center"/>
            </w:pPr>
            <w:r w:rsidRPr="52C55E83" w:rsidR="399FBCA5">
              <w:rPr>
                <w:rFonts w:ascii="Arial" w:hAnsi="Arial" w:eastAsia="Arial" w:cs="Arial"/>
                <w:b w:val="1"/>
                <w:bCs w:val="1"/>
                <w:sz w:val="18"/>
                <w:szCs w:val="18"/>
                <w:lang w:val="en-US"/>
              </w:rPr>
              <w:t>Translation into English</w:t>
            </w:r>
          </w:p>
        </w:tc>
        <w:tc>
          <w:tcPr>
            <w:tcW w:w="1748" w:type="dxa"/>
            <w:tcBorders>
              <w:top w:val="single" w:sz="8"/>
              <w:left w:val="single" w:sz="8"/>
              <w:bottom w:val="single" w:sz="8"/>
              <w:right w:val="single" w:sz="8"/>
            </w:tcBorders>
            <w:tcMar>
              <w:left w:w="108" w:type="dxa"/>
              <w:right w:w="108" w:type="dxa"/>
            </w:tcMar>
            <w:vAlign w:val="top"/>
          </w:tcPr>
          <w:p w:rsidR="7F6EF22F" w:rsidP="51862C77" w:rsidRDefault="7F6EF22F" w14:paraId="3D24919D" w14:textId="55CB5651">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Variable / condition</w:t>
            </w:r>
          </w:p>
        </w:tc>
        <w:tc>
          <w:tcPr>
            <w:tcW w:w="1050" w:type="dxa"/>
            <w:tcBorders>
              <w:top w:val="single" w:sz="8"/>
              <w:left w:val="single" w:sz="8"/>
              <w:bottom w:val="single" w:sz="8"/>
              <w:right w:val="single" w:sz="8"/>
            </w:tcBorders>
            <w:tcMar>
              <w:left w:w="108" w:type="dxa"/>
              <w:right w:w="108" w:type="dxa"/>
            </w:tcMar>
            <w:vAlign w:val="top"/>
          </w:tcPr>
          <w:p w:rsidR="7F6EF22F" w:rsidP="51862C77" w:rsidRDefault="7F6EF22F" w14:paraId="446B0426" w14:textId="327FE5B5">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Output</w:t>
            </w:r>
          </w:p>
        </w:tc>
        <w:tc>
          <w:tcPr>
            <w:tcW w:w="1380" w:type="dxa"/>
            <w:tcBorders>
              <w:top w:val="single" w:sz="8"/>
              <w:left w:val="single" w:sz="8"/>
              <w:bottom w:val="single" w:sz="8"/>
              <w:right w:val="single" w:sz="8"/>
            </w:tcBorders>
            <w:tcMar>
              <w:left w:w="108" w:type="dxa"/>
              <w:right w:w="108" w:type="dxa"/>
            </w:tcMar>
            <w:vAlign w:val="top"/>
          </w:tcPr>
          <w:p w:rsidR="7F6EF22F" w:rsidP="51862C77" w:rsidRDefault="7F6EF22F" w14:paraId="73F8C563" w14:textId="27C950ED">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Reason</w:t>
            </w:r>
          </w:p>
        </w:tc>
        <w:tc>
          <w:tcPr>
            <w:tcW w:w="1709" w:type="dxa"/>
            <w:tcBorders>
              <w:top w:val="single" w:sz="8"/>
              <w:left w:val="single" w:sz="8"/>
              <w:bottom w:val="single" w:sz="8"/>
              <w:right w:val="single" w:sz="8"/>
            </w:tcBorders>
            <w:tcMar>
              <w:left w:w="108" w:type="dxa"/>
              <w:right w:w="108" w:type="dxa"/>
            </w:tcMar>
            <w:vAlign w:val="top"/>
          </w:tcPr>
          <w:p w:rsidR="7F6EF22F" w:rsidP="51862C77" w:rsidRDefault="7F6EF22F" w14:paraId="577C1D1B" w14:textId="4A643107">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Modelling decision</w:t>
            </w:r>
          </w:p>
        </w:tc>
      </w:tr>
      <w:tr w:rsidR="7F6EF22F" w:rsidTr="52C55E83" w14:paraId="248B273A">
        <w:trPr>
          <w:trHeight w:val="300"/>
        </w:trPr>
        <w:tc>
          <w:tcPr>
            <w:tcW w:w="1564" w:type="dxa"/>
            <w:tcBorders>
              <w:top w:val="single" w:sz="8"/>
              <w:left w:val="single" w:sz="8"/>
              <w:bottom w:val="single" w:sz="8"/>
              <w:right w:val="single" w:sz="8"/>
            </w:tcBorders>
            <w:tcMar>
              <w:left w:w="108" w:type="dxa"/>
              <w:right w:w="108" w:type="dxa"/>
            </w:tcMar>
            <w:vAlign w:val="top"/>
          </w:tcPr>
          <w:p w:rsidR="52C55E83" w:rsidP="52C55E83" w:rsidRDefault="52C55E83" w14:paraId="6B8B0EBA" w14:textId="474C6453">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„Aufgrund der aktuell unzureichenden Datenlage, und auch wegen der noch nicht abschätzbaren gesundheitlichen Langzeitfolgen für Patient*innen mit COPD, sieht die Leitliniengruppe in der E-Zigarette keine Option für einen primären Entwöhnungsversuch.“</w:t>
            </w:r>
          </w:p>
        </w:tc>
        <w:tc>
          <w:tcPr>
            <w:tcW w:w="1564" w:type="dxa"/>
            <w:tcBorders>
              <w:top w:val="single" w:sz="8"/>
              <w:left w:val="single" w:sz="8"/>
              <w:bottom w:val="single" w:sz="8"/>
              <w:right w:val="single" w:sz="8"/>
            </w:tcBorders>
            <w:tcMar>
              <w:left w:w="108" w:type="dxa"/>
              <w:right w:w="108" w:type="dxa"/>
            </w:tcMar>
            <w:vAlign w:val="top"/>
          </w:tcPr>
          <w:p w:rsidR="7F6EF22F" w:rsidP="51862C77" w:rsidRDefault="7F6EF22F" w14:paraId="58897377" w14:textId="26715A9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E-cigarettes are not an option for a primary cessation attempt.</w:t>
            </w:r>
          </w:p>
        </w:tc>
        <w:tc>
          <w:tcPr>
            <w:tcW w:w="1748" w:type="dxa"/>
            <w:tcBorders>
              <w:top w:val="single" w:sz="8"/>
              <w:left w:val="single" w:sz="8"/>
              <w:bottom w:val="single" w:sz="8"/>
              <w:right w:val="single" w:sz="8"/>
            </w:tcBorders>
            <w:tcMar>
              <w:left w:w="108" w:type="dxa"/>
              <w:right w:w="108" w:type="dxa"/>
            </w:tcMar>
            <w:vAlign w:val="top"/>
          </w:tcPr>
          <w:p w:rsidR="7F6EF22F" w:rsidP="51862C77" w:rsidRDefault="7F6EF22F" w14:paraId="44829F9D" w14:textId="019BF98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primary_cessation_attempt = true</w:t>
            </w:r>
          </w:p>
        </w:tc>
        <w:tc>
          <w:tcPr>
            <w:tcW w:w="1050" w:type="dxa"/>
            <w:tcBorders>
              <w:top w:val="single" w:sz="8"/>
              <w:left w:val="single" w:sz="8"/>
              <w:bottom w:val="single" w:sz="8"/>
              <w:right w:val="single" w:sz="8"/>
            </w:tcBorders>
            <w:tcMar>
              <w:left w:w="108" w:type="dxa"/>
              <w:right w:w="108" w:type="dxa"/>
            </w:tcMar>
            <w:vAlign w:val="top"/>
          </w:tcPr>
          <w:p w:rsidR="7F6EF22F" w:rsidP="51862C77" w:rsidRDefault="7F6EF22F" w14:paraId="378183B6" w14:textId="39558F7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 not initiate</w:t>
            </w:r>
          </w:p>
        </w:tc>
        <w:tc>
          <w:tcPr>
            <w:tcW w:w="1380" w:type="dxa"/>
            <w:tcBorders>
              <w:top w:val="single" w:sz="8"/>
              <w:left w:val="single" w:sz="8"/>
              <w:bottom w:val="single" w:sz="8"/>
              <w:right w:val="single" w:sz="8"/>
            </w:tcBorders>
            <w:tcMar>
              <w:left w:w="108" w:type="dxa"/>
              <w:right w:w="108" w:type="dxa"/>
            </w:tcMar>
            <w:vAlign w:val="top"/>
          </w:tcPr>
          <w:p w:rsidR="7F6EF22F" w:rsidP="51862C77" w:rsidRDefault="7F6EF22F" w14:paraId="522EE7C7" w14:textId="0DBED59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E-cigarette is intended as primary cessation attempt.</w:t>
            </w:r>
          </w:p>
        </w:tc>
        <w:tc>
          <w:tcPr>
            <w:tcW w:w="1709" w:type="dxa"/>
            <w:tcBorders>
              <w:top w:val="single" w:sz="8"/>
              <w:left w:val="single" w:sz="8"/>
              <w:bottom w:val="single" w:sz="8"/>
              <w:right w:val="single" w:sz="8"/>
            </w:tcBorders>
            <w:tcMar>
              <w:left w:w="108" w:type="dxa"/>
              <w:right w:w="108" w:type="dxa"/>
            </w:tcMar>
            <w:vAlign w:val="top"/>
          </w:tcPr>
          <w:p w:rsidR="7F6EF22F" w:rsidP="51862C77" w:rsidRDefault="7F6EF22F" w14:paraId="4487261E" w14:textId="5818BAE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exclusion was modelled as the first rule. Although this question is already represented as a BPMN gateway, it is also included in DMN to keep the eligibility table complete as a standalone decision table.</w:t>
            </w:r>
          </w:p>
        </w:tc>
      </w:tr>
      <w:tr w:rsidR="7F6EF22F" w:rsidTr="52C55E83" w14:paraId="750A991F">
        <w:trPr>
          <w:trHeight w:val="300"/>
        </w:trPr>
        <w:tc>
          <w:tcPr>
            <w:tcW w:w="1564" w:type="dxa"/>
            <w:tcBorders>
              <w:top w:val="single" w:sz="8"/>
              <w:left w:val="single" w:sz="8"/>
              <w:bottom w:val="single" w:sz="8"/>
              <w:right w:val="single" w:sz="8"/>
            </w:tcBorders>
            <w:tcMar>
              <w:left w:w="108" w:type="dxa"/>
              <w:right w:w="108" w:type="dxa"/>
            </w:tcMar>
            <w:vAlign w:val="top"/>
          </w:tcPr>
          <w:p w:rsidR="52C55E83" w:rsidP="52C55E83" w:rsidRDefault="52C55E83" w14:paraId="1B82C760" w14:textId="67679DC4">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dokumentiertem Versagen oder Ablehnung anderer evidenzbasierter Maßnahmen,“</w:t>
            </w:r>
          </w:p>
        </w:tc>
        <w:tc>
          <w:tcPr>
            <w:tcW w:w="1564" w:type="dxa"/>
            <w:tcBorders>
              <w:top w:val="single" w:sz="8"/>
              <w:left w:val="single" w:sz="8"/>
              <w:bottom w:val="single" w:sz="8"/>
              <w:right w:val="single" w:sz="8"/>
            </w:tcBorders>
            <w:tcMar>
              <w:left w:w="108" w:type="dxa"/>
              <w:right w:w="108" w:type="dxa"/>
            </w:tcMar>
            <w:vAlign w:val="top"/>
          </w:tcPr>
          <w:p w:rsidR="7F6EF22F" w:rsidP="51862C77" w:rsidRDefault="7F6EF22F" w14:paraId="30DAF6A7" w14:textId="4FA8F6E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Documented failure or refusal of other evidence-based measures.</w:t>
            </w:r>
          </w:p>
        </w:tc>
        <w:tc>
          <w:tcPr>
            <w:tcW w:w="1748" w:type="dxa"/>
            <w:tcBorders>
              <w:top w:val="single" w:sz="8"/>
              <w:left w:val="single" w:sz="8"/>
              <w:bottom w:val="single" w:sz="8"/>
              <w:right w:val="single" w:sz="8"/>
            </w:tcBorders>
            <w:tcMar>
              <w:left w:w="108" w:type="dxa"/>
              <w:right w:w="108" w:type="dxa"/>
            </w:tcMar>
            <w:vAlign w:val="top"/>
          </w:tcPr>
          <w:p w:rsidR="7F6EF22F" w:rsidP="51862C77" w:rsidRDefault="7F6EF22F" w14:paraId="561640B7" w14:textId="5D25111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primary_cessation_attempt = false AND documented_failure_or_refusal = false</w:t>
            </w:r>
          </w:p>
        </w:tc>
        <w:tc>
          <w:tcPr>
            <w:tcW w:w="1050" w:type="dxa"/>
            <w:tcBorders>
              <w:top w:val="single" w:sz="8"/>
              <w:left w:val="single" w:sz="8"/>
              <w:bottom w:val="single" w:sz="8"/>
              <w:right w:val="single" w:sz="8"/>
            </w:tcBorders>
            <w:tcMar>
              <w:left w:w="108" w:type="dxa"/>
              <w:right w:w="108" w:type="dxa"/>
            </w:tcMar>
            <w:vAlign w:val="top"/>
          </w:tcPr>
          <w:p w:rsidR="7F6EF22F" w:rsidP="51862C77" w:rsidRDefault="7F6EF22F" w14:paraId="24B90694" w14:textId="5B91A5A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 not initiate</w:t>
            </w:r>
          </w:p>
        </w:tc>
        <w:tc>
          <w:tcPr>
            <w:tcW w:w="1380" w:type="dxa"/>
            <w:tcBorders>
              <w:top w:val="single" w:sz="8"/>
              <w:left w:val="single" w:sz="8"/>
              <w:bottom w:val="single" w:sz="8"/>
              <w:right w:val="single" w:sz="8"/>
            </w:tcBorders>
            <w:tcMar>
              <w:left w:w="108" w:type="dxa"/>
              <w:right w:w="108" w:type="dxa"/>
            </w:tcMar>
            <w:vAlign w:val="top"/>
          </w:tcPr>
          <w:p w:rsidR="7F6EF22F" w:rsidP="51862C77" w:rsidRDefault="7F6EF22F" w14:paraId="088A661C" w14:textId="79C228E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No documented failure or refusal of other evidence-based measures.</w:t>
            </w:r>
          </w:p>
        </w:tc>
        <w:tc>
          <w:tcPr>
            <w:tcW w:w="1709" w:type="dxa"/>
            <w:tcBorders>
              <w:top w:val="single" w:sz="8"/>
              <w:left w:val="single" w:sz="8"/>
              <w:bottom w:val="single" w:sz="8"/>
              <w:right w:val="single" w:sz="8"/>
            </w:tcBorders>
            <w:tcMar>
              <w:left w:w="108" w:type="dxa"/>
              <w:right w:w="108" w:type="dxa"/>
            </w:tcMar>
            <w:vAlign w:val="top"/>
          </w:tcPr>
          <w:p w:rsidR="7F6EF22F" w:rsidP="51862C77" w:rsidRDefault="7F6EF22F" w14:paraId="7B4B8B87" w14:textId="0D396CE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'Documented' is required, but the guideline does not specify the data source or form of proof. The condition was modelled as a Boolean input.</w:t>
            </w:r>
          </w:p>
        </w:tc>
      </w:tr>
      <w:tr w:rsidR="7F6EF22F" w:rsidTr="52C55E83" w14:paraId="3CB4AA20">
        <w:trPr>
          <w:trHeight w:val="300"/>
        </w:trPr>
        <w:tc>
          <w:tcPr>
            <w:tcW w:w="1564" w:type="dxa"/>
            <w:tcBorders>
              <w:top w:val="single" w:sz="8"/>
              <w:left w:val="single" w:sz="8"/>
              <w:bottom w:val="single" w:sz="8"/>
              <w:right w:val="single" w:sz="8"/>
            </w:tcBorders>
            <w:tcMar>
              <w:left w:w="108" w:type="dxa"/>
              <w:right w:w="108" w:type="dxa"/>
            </w:tcMar>
            <w:vAlign w:val="top"/>
          </w:tcPr>
          <w:p w:rsidR="52C55E83" w:rsidP="52C55E83" w:rsidRDefault="52C55E83" w14:paraId="34C160B0" w14:textId="6A800A30">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„nach Aufklärung über bekannte Risiken,“</w:t>
            </w:r>
          </w:p>
        </w:tc>
        <w:tc>
          <w:tcPr>
            <w:tcW w:w="1564" w:type="dxa"/>
            <w:tcBorders>
              <w:top w:val="single" w:sz="8"/>
              <w:left w:val="single" w:sz="8"/>
              <w:bottom w:val="single" w:sz="8"/>
              <w:right w:val="single" w:sz="8"/>
            </w:tcBorders>
            <w:tcMar>
              <w:left w:w="108" w:type="dxa"/>
              <w:right w:w="108" w:type="dxa"/>
            </w:tcMar>
            <w:vAlign w:val="top"/>
          </w:tcPr>
          <w:p w:rsidR="7F6EF22F" w:rsidP="51862C77" w:rsidRDefault="7F6EF22F" w14:paraId="5D2F7C8C" w14:textId="66557A2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After counselling about known risks.</w:t>
            </w:r>
          </w:p>
        </w:tc>
        <w:tc>
          <w:tcPr>
            <w:tcW w:w="1748" w:type="dxa"/>
            <w:tcBorders>
              <w:top w:val="single" w:sz="8"/>
              <w:left w:val="single" w:sz="8"/>
              <w:bottom w:val="single" w:sz="8"/>
              <w:right w:val="single" w:sz="8"/>
            </w:tcBorders>
            <w:tcMar>
              <w:left w:w="108" w:type="dxa"/>
              <w:right w:w="108" w:type="dxa"/>
            </w:tcMar>
            <w:vAlign w:val="top"/>
          </w:tcPr>
          <w:p w:rsidR="7F6EF22F" w:rsidP="51862C77" w:rsidRDefault="7F6EF22F" w14:paraId="444755EE" w14:textId="1350016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primary_cessation_attempt = false AND documented_failure_or_refusal = true AND risk_counseling_completed = false</w:t>
            </w:r>
          </w:p>
        </w:tc>
        <w:tc>
          <w:tcPr>
            <w:tcW w:w="1050" w:type="dxa"/>
            <w:tcBorders>
              <w:top w:val="single" w:sz="8"/>
              <w:left w:val="single" w:sz="8"/>
              <w:bottom w:val="single" w:sz="8"/>
              <w:right w:val="single" w:sz="8"/>
            </w:tcBorders>
            <w:tcMar>
              <w:left w:w="108" w:type="dxa"/>
              <w:right w:w="108" w:type="dxa"/>
            </w:tcMar>
            <w:vAlign w:val="top"/>
          </w:tcPr>
          <w:p w:rsidR="7F6EF22F" w:rsidP="51862C77" w:rsidRDefault="7F6EF22F" w14:paraId="6C69A2DC" w14:textId="07437B8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 not initiate</w:t>
            </w:r>
          </w:p>
        </w:tc>
        <w:tc>
          <w:tcPr>
            <w:tcW w:w="1380" w:type="dxa"/>
            <w:tcBorders>
              <w:top w:val="single" w:sz="8"/>
              <w:left w:val="single" w:sz="8"/>
              <w:bottom w:val="single" w:sz="8"/>
              <w:right w:val="single" w:sz="8"/>
            </w:tcBorders>
            <w:tcMar>
              <w:left w:w="108" w:type="dxa"/>
              <w:right w:w="108" w:type="dxa"/>
            </w:tcMar>
            <w:vAlign w:val="top"/>
          </w:tcPr>
          <w:p w:rsidR="7F6EF22F" w:rsidP="51862C77" w:rsidRDefault="7F6EF22F" w14:paraId="0531F7CF" w14:textId="574FB53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Risk counselling has not been completed.</w:t>
            </w:r>
          </w:p>
        </w:tc>
        <w:tc>
          <w:tcPr>
            <w:tcW w:w="1709" w:type="dxa"/>
            <w:tcBorders>
              <w:top w:val="single" w:sz="8"/>
              <w:left w:val="single" w:sz="8"/>
              <w:bottom w:val="single" w:sz="8"/>
              <w:right w:val="single" w:sz="8"/>
            </w:tcBorders>
            <w:tcMar>
              <w:left w:w="108" w:type="dxa"/>
              <w:right w:w="108" w:type="dxa"/>
            </w:tcMar>
            <w:vAlign w:val="top"/>
          </w:tcPr>
          <w:p w:rsidR="7F6EF22F" w:rsidP="51862C77" w:rsidRDefault="7F6EF22F" w14:paraId="42A0F340" w14:textId="69FD5E1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Risk counselling is mandatory but not fully operationalised. DMN checks only whether it has been completed; the counselling itself remains a BPMN task.</w:t>
            </w:r>
          </w:p>
        </w:tc>
      </w:tr>
      <w:tr w:rsidR="7F6EF22F" w:rsidTr="52C55E83" w14:paraId="1A02C59B">
        <w:trPr>
          <w:trHeight w:val="300"/>
        </w:trPr>
        <w:tc>
          <w:tcPr>
            <w:tcW w:w="1564" w:type="dxa"/>
            <w:tcBorders>
              <w:top w:val="single" w:sz="8"/>
              <w:left w:val="single" w:sz="8"/>
              <w:bottom w:val="single" w:sz="8"/>
              <w:right w:val="single" w:sz="8"/>
            </w:tcBorders>
            <w:tcMar>
              <w:left w:w="108" w:type="dxa"/>
              <w:right w:w="108" w:type="dxa"/>
            </w:tcMar>
            <w:vAlign w:val="top"/>
          </w:tcPr>
          <w:p w:rsidR="52C55E83" w:rsidP="52C55E83" w:rsidRDefault="52C55E83" w14:paraId="317C55B0" w14:textId="18C04CE8">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gleichzeitiger Beendigung des Tabakkonsums und“</w:t>
            </w:r>
          </w:p>
        </w:tc>
        <w:tc>
          <w:tcPr>
            <w:tcW w:w="1564" w:type="dxa"/>
            <w:tcBorders>
              <w:top w:val="single" w:sz="8"/>
              <w:left w:val="single" w:sz="8"/>
              <w:bottom w:val="single" w:sz="8"/>
              <w:right w:val="single" w:sz="8"/>
            </w:tcBorders>
            <w:tcMar>
              <w:left w:w="108" w:type="dxa"/>
              <w:right w:w="108" w:type="dxa"/>
            </w:tcMar>
            <w:vAlign w:val="top"/>
          </w:tcPr>
          <w:p w:rsidR="7F6EF22F" w:rsidP="51862C77" w:rsidRDefault="7F6EF22F" w14:paraId="1097CA0E" w14:textId="30BAD81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With simultaneous termination of tobacco use.</w:t>
            </w:r>
          </w:p>
        </w:tc>
        <w:tc>
          <w:tcPr>
            <w:tcW w:w="1748" w:type="dxa"/>
            <w:tcBorders>
              <w:top w:val="single" w:sz="8"/>
              <w:left w:val="single" w:sz="8"/>
              <w:bottom w:val="single" w:sz="8"/>
              <w:right w:val="single" w:sz="8"/>
            </w:tcBorders>
            <w:tcMar>
              <w:left w:w="108" w:type="dxa"/>
              <w:right w:w="108" w:type="dxa"/>
            </w:tcMar>
            <w:vAlign w:val="top"/>
          </w:tcPr>
          <w:p w:rsidR="7F6EF22F" w:rsidP="51862C77" w:rsidRDefault="7F6EF22F" w14:paraId="72814D74" w14:textId="3ECD999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primary_cessation_attempt = false AND documented_failure_or_refusal = true AND risk_counseling_completed = true AND simultaneous_tobacco_cessation = false</w:t>
            </w:r>
          </w:p>
        </w:tc>
        <w:tc>
          <w:tcPr>
            <w:tcW w:w="1050" w:type="dxa"/>
            <w:tcBorders>
              <w:top w:val="single" w:sz="8"/>
              <w:left w:val="single" w:sz="8"/>
              <w:bottom w:val="single" w:sz="8"/>
              <w:right w:val="single" w:sz="8"/>
            </w:tcBorders>
            <w:tcMar>
              <w:left w:w="108" w:type="dxa"/>
              <w:right w:w="108" w:type="dxa"/>
            </w:tcMar>
            <w:vAlign w:val="top"/>
          </w:tcPr>
          <w:p w:rsidR="7F6EF22F" w:rsidP="51862C77" w:rsidRDefault="7F6EF22F" w14:paraId="37E76A4C" w14:textId="5917C6C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 not initiate</w:t>
            </w:r>
          </w:p>
        </w:tc>
        <w:tc>
          <w:tcPr>
            <w:tcW w:w="1380" w:type="dxa"/>
            <w:tcBorders>
              <w:top w:val="single" w:sz="8"/>
              <w:left w:val="single" w:sz="8"/>
              <w:bottom w:val="single" w:sz="8"/>
              <w:right w:val="single" w:sz="8"/>
            </w:tcBorders>
            <w:tcMar>
              <w:left w:w="108" w:type="dxa"/>
              <w:right w:w="108" w:type="dxa"/>
            </w:tcMar>
            <w:vAlign w:val="top"/>
          </w:tcPr>
          <w:p w:rsidR="7F6EF22F" w:rsidP="51862C77" w:rsidRDefault="7F6EF22F" w14:paraId="657DD703" w14:textId="65A2052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Simultaneous termination of tobacco use is not confirmed.</w:t>
            </w:r>
          </w:p>
        </w:tc>
        <w:tc>
          <w:tcPr>
            <w:tcW w:w="1709" w:type="dxa"/>
            <w:tcBorders>
              <w:top w:val="single" w:sz="8"/>
              <w:left w:val="single" w:sz="8"/>
              <w:bottom w:val="single" w:sz="8"/>
              <w:right w:val="single" w:sz="8"/>
            </w:tcBorders>
            <w:tcMar>
              <w:left w:w="108" w:type="dxa"/>
              <w:right w:w="108" w:type="dxa"/>
            </w:tcMar>
            <w:vAlign w:val="top"/>
          </w:tcPr>
          <w:p w:rsidR="7F6EF22F" w:rsidP="51862C77" w:rsidRDefault="7F6EF22F" w14:paraId="7B2E697F" w14:textId="18B121D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Boolean input prevents parallel use of tobacco cigarettes and e-cigarettes.</w:t>
            </w:r>
          </w:p>
        </w:tc>
      </w:tr>
      <w:tr w:rsidR="7F6EF22F" w:rsidTr="52C55E83" w14:paraId="6E98FB7B">
        <w:trPr>
          <w:trHeight w:val="300"/>
        </w:trPr>
        <w:tc>
          <w:tcPr>
            <w:tcW w:w="1564" w:type="dxa"/>
            <w:tcBorders>
              <w:top w:val="single" w:sz="8"/>
              <w:left w:val="single" w:sz="8"/>
              <w:bottom w:val="single" w:sz="8"/>
              <w:right w:val="single" w:sz="8"/>
            </w:tcBorders>
            <w:tcMar>
              <w:left w:w="108" w:type="dxa"/>
              <w:right w:w="108" w:type="dxa"/>
            </w:tcMar>
            <w:vAlign w:val="top"/>
          </w:tcPr>
          <w:p w:rsidR="52C55E83" w:rsidP="52C55E83" w:rsidRDefault="52C55E83" w14:paraId="47CC25D1" w14:textId="37984C85">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„bei kontinuierlichem ärztlichem Monitoring und Begleitung.“</w:t>
            </w:r>
          </w:p>
        </w:tc>
        <w:tc>
          <w:tcPr>
            <w:tcW w:w="1564" w:type="dxa"/>
            <w:tcBorders>
              <w:top w:val="single" w:sz="8"/>
              <w:left w:val="single" w:sz="8"/>
              <w:bottom w:val="single" w:sz="8"/>
              <w:right w:val="single" w:sz="8"/>
            </w:tcBorders>
            <w:tcMar>
              <w:left w:w="108" w:type="dxa"/>
              <w:right w:w="108" w:type="dxa"/>
            </w:tcMar>
            <w:vAlign w:val="top"/>
          </w:tcPr>
          <w:p w:rsidR="7F6EF22F" w:rsidP="51862C77" w:rsidRDefault="7F6EF22F" w14:paraId="61CE2A70" w14:textId="2403E6F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With continuous medical monitoring and support.</w:t>
            </w:r>
          </w:p>
        </w:tc>
        <w:tc>
          <w:tcPr>
            <w:tcW w:w="1748" w:type="dxa"/>
            <w:tcBorders>
              <w:top w:val="single" w:sz="8"/>
              <w:left w:val="single" w:sz="8"/>
              <w:bottom w:val="single" w:sz="8"/>
              <w:right w:val="single" w:sz="8"/>
            </w:tcBorders>
            <w:tcMar>
              <w:left w:w="108" w:type="dxa"/>
              <w:right w:w="108" w:type="dxa"/>
            </w:tcMar>
            <w:vAlign w:val="top"/>
          </w:tcPr>
          <w:p w:rsidR="7F6EF22F" w:rsidP="51862C77" w:rsidRDefault="7F6EF22F" w14:paraId="120E408A" w14:textId="223CECB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primary_cessation_attempt = false AND documented_failure_or_refusal = true AND risk_counseling_completed = true AND simultaneous_tobacco_cessation = true AND continuous_monitoring_planned = false</w:t>
            </w:r>
          </w:p>
        </w:tc>
        <w:tc>
          <w:tcPr>
            <w:tcW w:w="1050" w:type="dxa"/>
            <w:tcBorders>
              <w:top w:val="single" w:sz="8"/>
              <w:left w:val="single" w:sz="8"/>
              <w:bottom w:val="single" w:sz="8"/>
              <w:right w:val="single" w:sz="8"/>
            </w:tcBorders>
            <w:tcMar>
              <w:left w:w="108" w:type="dxa"/>
              <w:right w:w="108" w:type="dxa"/>
            </w:tcMar>
            <w:vAlign w:val="top"/>
          </w:tcPr>
          <w:p w:rsidR="7F6EF22F" w:rsidP="51862C77" w:rsidRDefault="7F6EF22F" w14:paraId="22B89EC5" w14:textId="52855D7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Do not initiate</w:t>
            </w:r>
          </w:p>
        </w:tc>
        <w:tc>
          <w:tcPr>
            <w:tcW w:w="1380" w:type="dxa"/>
            <w:tcBorders>
              <w:top w:val="single" w:sz="8"/>
              <w:left w:val="single" w:sz="8"/>
              <w:bottom w:val="single" w:sz="8"/>
              <w:right w:val="single" w:sz="8"/>
            </w:tcBorders>
            <w:tcMar>
              <w:left w:w="108" w:type="dxa"/>
              <w:right w:w="108" w:type="dxa"/>
            </w:tcMar>
            <w:vAlign w:val="top"/>
          </w:tcPr>
          <w:p w:rsidR="7F6EF22F" w:rsidP="51862C77" w:rsidRDefault="7F6EF22F" w14:paraId="2FBC7EAB" w14:textId="3BA57FB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Continuous medical monitoring and support is not planned.</w:t>
            </w:r>
          </w:p>
        </w:tc>
        <w:tc>
          <w:tcPr>
            <w:tcW w:w="1709" w:type="dxa"/>
            <w:tcBorders>
              <w:top w:val="single" w:sz="8"/>
              <w:left w:val="single" w:sz="8"/>
              <w:bottom w:val="single" w:sz="8"/>
              <w:right w:val="single" w:sz="8"/>
            </w:tcBorders>
            <w:tcMar>
              <w:left w:w="108" w:type="dxa"/>
              <w:right w:w="108" w:type="dxa"/>
            </w:tcMar>
            <w:vAlign w:val="top"/>
          </w:tcPr>
          <w:p w:rsidR="7F6EF22F" w:rsidP="51862C77" w:rsidRDefault="7F6EF22F" w14:paraId="15A9B91A" w14:textId="6A93C93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DMN checks whether monitoring is planned; the monitoring process itself is represented in BPMN.</w:t>
            </w:r>
          </w:p>
        </w:tc>
      </w:tr>
      <w:tr w:rsidR="7F6EF22F" w:rsidTr="52C55E83" w14:paraId="72B46416">
        <w:trPr>
          <w:trHeight w:val="300"/>
        </w:trPr>
        <w:tc>
          <w:tcPr>
            <w:tcW w:w="1564" w:type="dxa"/>
            <w:tcBorders>
              <w:top w:val="single" w:sz="8"/>
              <w:left w:val="single" w:sz="8"/>
              <w:bottom w:val="single" w:sz="8"/>
              <w:right w:val="single" w:sz="8"/>
            </w:tcBorders>
            <w:tcMar>
              <w:left w:w="108" w:type="dxa"/>
              <w:right w:w="108" w:type="dxa"/>
            </w:tcMar>
            <w:vAlign w:val="top"/>
          </w:tcPr>
          <w:p w:rsidR="52C55E83" w:rsidP="52C55E83" w:rsidRDefault="52C55E83" w14:paraId="0FEADE79" w14:textId="78465CE5">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„Falls der Einsatz der E-Zigarette zur Unterstützung der Tabakabstinenz erwogen wird, dann nur unter folgenden Voraussetzungen: Bei dokumentiertem Versagen oder Ablehnung anderer evidenzbasierter Maßnahmen, nach Aufklärung über bekannte Risiken, bei gleichzeitiger Beendigung des Tabakkonsums und bei kontinuierlichem ärztlichem Monitoring und Begleitung.“</w:t>
            </w:r>
          </w:p>
        </w:tc>
        <w:tc>
          <w:tcPr>
            <w:tcW w:w="1564" w:type="dxa"/>
            <w:tcBorders>
              <w:top w:val="single" w:sz="8"/>
              <w:left w:val="single" w:sz="8"/>
              <w:bottom w:val="single" w:sz="8"/>
              <w:right w:val="single" w:sz="8"/>
            </w:tcBorders>
            <w:tcMar>
              <w:left w:w="108" w:type="dxa"/>
              <w:right w:w="108" w:type="dxa"/>
            </w:tcMar>
            <w:vAlign w:val="top"/>
          </w:tcPr>
          <w:p w:rsidR="7F6EF22F" w:rsidP="51862C77" w:rsidRDefault="7F6EF22F" w14:paraId="377A22CC" w14:textId="2D9F8AB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Only under the following prerequisites: documented failure/refusal, risk counselling, simultaneous tobacco cessation, and continuous medical monitoring and support.</w:t>
            </w:r>
          </w:p>
        </w:tc>
        <w:tc>
          <w:tcPr>
            <w:tcW w:w="1748" w:type="dxa"/>
            <w:tcBorders>
              <w:top w:val="single" w:sz="8"/>
              <w:left w:val="single" w:sz="8"/>
              <w:bottom w:val="single" w:sz="8"/>
              <w:right w:val="single" w:sz="8"/>
            </w:tcBorders>
            <w:tcMar>
              <w:left w:w="108" w:type="dxa"/>
              <w:right w:w="108" w:type="dxa"/>
            </w:tcMar>
            <w:vAlign w:val="top"/>
          </w:tcPr>
          <w:p w:rsidR="7F6EF22F" w:rsidP="51862C77" w:rsidRDefault="7F6EF22F" w14:paraId="6D857136" w14:textId="10D78B3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primary_cessation_attempt = false AND documented_failure_or_refusal = true AND risk_counseling_completed = true AND simultaneous_tobacco_cessation = true AND continuous_monitoring_planned = true</w:t>
            </w:r>
          </w:p>
        </w:tc>
        <w:tc>
          <w:tcPr>
            <w:tcW w:w="1050" w:type="dxa"/>
            <w:tcBorders>
              <w:top w:val="single" w:sz="8"/>
              <w:left w:val="single" w:sz="8"/>
              <w:bottom w:val="single" w:sz="8"/>
              <w:right w:val="single" w:sz="8"/>
            </w:tcBorders>
            <w:tcMar>
              <w:left w:w="108" w:type="dxa"/>
              <w:right w:w="108" w:type="dxa"/>
            </w:tcMar>
            <w:vAlign w:val="top"/>
          </w:tcPr>
          <w:p w:rsidR="7F6EF22F" w:rsidP="51862C77" w:rsidRDefault="7F6EF22F" w14:paraId="63B8F233" w14:textId="44094A4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May consider under strict conditions</w:t>
            </w:r>
          </w:p>
        </w:tc>
        <w:tc>
          <w:tcPr>
            <w:tcW w:w="1380" w:type="dxa"/>
            <w:tcBorders>
              <w:top w:val="single" w:sz="8"/>
              <w:left w:val="single" w:sz="8"/>
              <w:bottom w:val="single" w:sz="8"/>
              <w:right w:val="single" w:sz="8"/>
            </w:tcBorders>
            <w:tcMar>
              <w:left w:w="108" w:type="dxa"/>
              <w:right w:w="108" w:type="dxa"/>
            </w:tcMar>
            <w:vAlign w:val="top"/>
          </w:tcPr>
          <w:p w:rsidR="7F6EF22F" w:rsidP="51862C77" w:rsidRDefault="7F6EF22F" w14:paraId="2D67233B" w14:textId="2A8E131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All mandatory prerequisites are fulfilled.</w:t>
            </w:r>
          </w:p>
        </w:tc>
        <w:tc>
          <w:tcPr>
            <w:tcW w:w="1709" w:type="dxa"/>
            <w:tcBorders>
              <w:top w:val="single" w:sz="8"/>
              <w:left w:val="single" w:sz="8"/>
              <w:bottom w:val="single" w:sz="8"/>
              <w:right w:val="single" w:sz="8"/>
            </w:tcBorders>
            <w:tcMar>
              <w:left w:w="108" w:type="dxa"/>
              <w:right w:w="108" w:type="dxa"/>
            </w:tcMar>
            <w:vAlign w:val="top"/>
          </w:tcPr>
          <w:p w:rsidR="7F6EF22F" w:rsidP="51862C77" w:rsidRDefault="7F6EF22F" w14:paraId="2412369D" w14:textId="305FC74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Because the guideline states 'only under the following prerequisites', the conditions were modelled as strict AND logic.</w:t>
            </w:r>
          </w:p>
        </w:tc>
      </w:tr>
    </w:tbl>
    <w:p w:rsidR="7F6EF22F" w:rsidP="51862C77" w:rsidRDefault="7F6EF22F" w14:paraId="4FD5F2F1" w14:textId="1A60D456">
      <w:pPr>
        <w:pStyle w:val="Normal"/>
        <w:spacing w:line="240" w:lineRule="auto"/>
        <w:rPr>
          <w:rFonts w:ascii="Arial" w:hAnsi="Arial" w:eastAsia="Arial" w:cs="Arial"/>
          <w:color w:val="000000" w:themeColor="text1" w:themeTint="FF" w:themeShade="FF"/>
        </w:rPr>
      </w:pPr>
    </w:p>
    <w:p w:rsidR="7F6EF22F" w:rsidP="51862C77" w:rsidRDefault="7F6EF22F" w14:paraId="5653B7EE" w14:textId="354AFF98">
      <w:pPr>
        <w:pStyle w:val="Normal"/>
        <w:spacing w:line="240" w:lineRule="auto"/>
        <w:rPr>
          <w:rFonts w:ascii="Arial" w:hAnsi="Arial" w:eastAsia="Arial" w:cs="Arial"/>
          <w:color w:val="000000" w:themeColor="text1" w:themeTint="FF" w:themeShade="FF"/>
        </w:rPr>
      </w:pPr>
    </w:p>
    <w:p w:rsidR="7F6EF22F" w:rsidP="51862C77" w:rsidRDefault="7F6EF22F" w14:paraId="1EE89969" w14:textId="1D26ECFF">
      <w:pPr>
        <w:pStyle w:val="Normal"/>
        <w:spacing w:line="240" w:lineRule="auto"/>
        <w:rPr>
          <w:rFonts w:ascii="Arial" w:hAnsi="Arial" w:eastAsia="Arial" w:cs="Arial"/>
          <w:b w:val="1"/>
          <w:bCs w:val="1"/>
          <w:color w:val="000000" w:themeColor="text1" w:themeTint="FF" w:themeShade="FF"/>
        </w:rPr>
      </w:pPr>
    </w:p>
    <w:p w:rsidR="7F6EF22F" w:rsidP="51862C77" w:rsidRDefault="7F6EF22F" w14:paraId="43A67738" w14:textId="5706ACC5">
      <w:pPr>
        <w:spacing w:line="240" w:lineRule="auto"/>
      </w:pPr>
      <w:r>
        <w:br w:type="page"/>
      </w:r>
    </w:p>
    <w:p w:rsidR="4B6F0347" w:rsidP="51862C77" w:rsidRDefault="4B6F0347" w14:paraId="12CDE001" w14:textId="313EC41D">
      <w:pPr>
        <w:pStyle w:val="Normal"/>
        <w:spacing w:line="240" w:lineRule="auto"/>
      </w:pPr>
      <w:r w:rsidRPr="51862C77" w:rsidR="4143A754">
        <w:rPr>
          <w:rFonts w:ascii="Arial" w:hAnsi="Arial" w:eastAsia="Arial" w:cs="Arial"/>
          <w:b w:val="1"/>
          <w:bCs w:val="1"/>
          <w:color w:val="000000" w:themeColor="text1" w:themeTint="FF" w:themeShade="FF"/>
        </w:rPr>
        <w:t xml:space="preserve">Supplement </w:t>
      </w:r>
      <w:r w:rsidRPr="51862C77" w:rsidR="05085AD8">
        <w:rPr>
          <w:rFonts w:ascii="Arial" w:hAnsi="Arial" w:eastAsia="Arial" w:cs="Arial"/>
          <w:b w:val="1"/>
          <w:bCs w:val="1"/>
          <w:color w:val="000000" w:themeColor="text1" w:themeTint="FF" w:themeShade="FF"/>
        </w:rPr>
        <w:t>S</w:t>
      </w:r>
      <w:r w:rsidRPr="51862C77" w:rsidR="290D40FE">
        <w:rPr>
          <w:rFonts w:ascii="Arial" w:hAnsi="Arial" w:eastAsia="Arial" w:cs="Arial"/>
          <w:b w:val="1"/>
          <w:bCs w:val="1"/>
          <w:color w:val="000000" w:themeColor="text1" w:themeTint="FF" w:themeShade="FF"/>
        </w:rPr>
        <w:t>2</w:t>
      </w:r>
      <w:r w:rsidRPr="51862C77" w:rsidR="4143A754">
        <w:rPr>
          <w:rFonts w:ascii="Arial" w:hAnsi="Arial" w:eastAsia="Arial" w:cs="Arial"/>
          <w:b w:val="1"/>
          <w:bCs w:val="1"/>
          <w:color w:val="000000" w:themeColor="text1" w:themeTint="FF" w:themeShade="FF"/>
        </w:rPr>
        <w:t xml:space="preserve">c: Modelling and </w:t>
      </w:r>
      <w:r w:rsidRPr="51862C77" w:rsidR="4143A754">
        <w:rPr>
          <w:rFonts w:ascii="Arial" w:hAnsi="Arial" w:eastAsia="Arial" w:cs="Arial"/>
          <w:b w:val="1"/>
          <w:bCs w:val="1"/>
          <w:color w:val="000000" w:themeColor="text1" w:themeTint="FF" w:themeShade="FF"/>
        </w:rPr>
        <w:t>interpretation</w:t>
      </w:r>
      <w:r w:rsidRPr="51862C77" w:rsidR="4143A754">
        <w:rPr>
          <w:rFonts w:ascii="Arial" w:hAnsi="Arial" w:eastAsia="Arial" w:cs="Arial"/>
          <w:b w:val="1"/>
          <w:bCs w:val="1"/>
          <w:color w:val="000000" w:themeColor="text1" w:themeTint="FF" w:themeShade="FF"/>
        </w:rPr>
        <w:t xml:space="preserve"> </w:t>
      </w:r>
      <w:r w:rsidRPr="51862C77" w:rsidR="4143A754">
        <w:rPr>
          <w:rFonts w:ascii="Arial" w:hAnsi="Arial" w:eastAsia="Arial" w:cs="Arial"/>
          <w:b w:val="1"/>
          <w:bCs w:val="1"/>
          <w:color w:val="000000" w:themeColor="text1" w:themeTint="FF" w:themeShade="FF"/>
        </w:rPr>
        <w:t>protocol</w:t>
      </w:r>
      <w:r w:rsidRPr="51862C77" w:rsidR="4143A754">
        <w:rPr>
          <w:rFonts w:ascii="Arial" w:hAnsi="Arial" w:eastAsia="Arial" w:cs="Arial"/>
          <w:b w:val="1"/>
          <w:bCs w:val="1"/>
          <w:color w:val="000000" w:themeColor="text1" w:themeTint="FF" w:themeShade="FF"/>
        </w:rPr>
        <w:t xml:space="preserve"> </w:t>
      </w:r>
      <w:r w:rsidRPr="51862C77" w:rsidR="4143A754">
        <w:rPr>
          <w:rFonts w:ascii="Arial" w:hAnsi="Arial" w:eastAsia="Arial" w:cs="Arial"/>
          <w:b w:val="1"/>
          <w:bCs w:val="1"/>
          <w:color w:val="000000" w:themeColor="text1" w:themeTint="FF" w:themeShade="FF"/>
        </w:rPr>
        <w:t>for</w:t>
      </w:r>
      <w:r w:rsidRPr="51862C77" w:rsidR="4143A754">
        <w:rPr>
          <w:rFonts w:ascii="Arial" w:hAnsi="Arial" w:eastAsia="Arial" w:cs="Arial"/>
          <w:b w:val="1"/>
          <w:bCs w:val="1"/>
          <w:color w:val="000000" w:themeColor="text1" w:themeTint="FF" w:themeShade="FF"/>
        </w:rPr>
        <w:t xml:space="preserve"> NVL COPD </w:t>
      </w:r>
      <w:r w:rsidRPr="51862C77" w:rsidR="4143A754">
        <w:rPr>
          <w:rFonts w:ascii="Arial" w:hAnsi="Arial" w:eastAsia="Arial" w:cs="Arial"/>
          <w:b w:val="1"/>
          <w:bCs w:val="1"/>
          <w:color w:val="000000" w:themeColor="text1" w:themeTint="FF" w:themeShade="FF"/>
        </w:rPr>
        <w:t>Section</w:t>
      </w:r>
      <w:r w:rsidRPr="51862C77" w:rsidR="4143A754">
        <w:rPr>
          <w:rFonts w:ascii="Arial" w:hAnsi="Arial" w:eastAsia="Arial" w:cs="Arial"/>
          <w:b w:val="1"/>
          <w:bCs w:val="1"/>
          <w:color w:val="000000" w:themeColor="text1" w:themeTint="FF" w:themeShade="FF"/>
        </w:rPr>
        <w:t xml:space="preserve"> 5.</w:t>
      </w:r>
      <w:r w:rsidRPr="51862C77" w:rsidR="5AD2CB67">
        <w:rPr>
          <w:rFonts w:ascii="Arial" w:hAnsi="Arial" w:eastAsia="Arial" w:cs="Arial"/>
          <w:b w:val="1"/>
          <w:bCs w:val="1"/>
          <w:color w:val="000000" w:themeColor="text1" w:themeTint="FF" w:themeShade="FF"/>
        </w:rPr>
        <w:t>1</w:t>
      </w:r>
      <w:r w:rsidRPr="51862C77" w:rsidR="6E237860">
        <w:rPr>
          <w:rFonts w:ascii="Arial" w:hAnsi="Arial" w:eastAsia="Arial" w:cs="Arial"/>
          <w:b w:val="1"/>
          <w:bCs w:val="1"/>
          <w:color w:val="000000" w:themeColor="text1" w:themeTint="FF" w:themeShade="FF"/>
        </w:rPr>
        <w:t xml:space="preserve"> (</w:t>
      </w:r>
      <w:r w:rsidRPr="51862C77" w:rsidR="6E237860">
        <w:rPr>
          <w:rFonts w:ascii="Arial" w:hAnsi="Arial" w:eastAsia="Arial" w:cs="Arial"/>
          <w:b w:val="1"/>
          <w:bCs w:val="1"/>
          <w:color w:val="000000" w:themeColor="text1" w:themeTint="FF" w:themeShade="FF"/>
        </w:rPr>
        <w:t>Exacerbations</w:t>
      </w:r>
      <w:r w:rsidRPr="51862C77" w:rsidR="6E237860">
        <w:rPr>
          <w:rFonts w:ascii="Arial" w:hAnsi="Arial" w:eastAsia="Arial" w:cs="Arial"/>
          <w:b w:val="1"/>
          <w:bCs w:val="1"/>
          <w:color w:val="000000" w:themeColor="text1" w:themeTint="FF" w:themeShade="FF"/>
        </w:rPr>
        <w:t xml:space="preserve"> </w:t>
      </w:r>
      <w:r w:rsidRPr="51862C77" w:rsidR="6E237860">
        <w:rPr>
          <w:rFonts w:ascii="Arial" w:hAnsi="Arial" w:eastAsia="Arial" w:cs="Arial"/>
          <w:b w:val="1"/>
          <w:bCs w:val="1"/>
          <w:color w:val="000000" w:themeColor="text1" w:themeTint="FF" w:themeShade="FF"/>
        </w:rPr>
        <w:t>that</w:t>
      </w:r>
      <w:r w:rsidRPr="51862C77" w:rsidR="6E237860">
        <w:rPr>
          <w:rFonts w:ascii="Arial" w:hAnsi="Arial" w:eastAsia="Arial" w:cs="Arial"/>
          <w:b w:val="1"/>
          <w:bCs w:val="1"/>
          <w:color w:val="000000" w:themeColor="text1" w:themeTint="FF" w:themeShade="FF"/>
        </w:rPr>
        <w:t xml:space="preserve"> </w:t>
      </w:r>
      <w:r w:rsidRPr="51862C77" w:rsidR="6E237860">
        <w:rPr>
          <w:rFonts w:ascii="Arial" w:hAnsi="Arial" w:eastAsia="Arial" w:cs="Arial"/>
          <w:b w:val="1"/>
          <w:bCs w:val="1"/>
          <w:color w:val="000000" w:themeColor="text1" w:themeTint="FF" w:themeShade="FF"/>
        </w:rPr>
        <w:t>have</w:t>
      </w:r>
      <w:r w:rsidRPr="51862C77" w:rsidR="6E237860">
        <w:rPr>
          <w:rFonts w:ascii="Arial" w:hAnsi="Arial" w:eastAsia="Arial" w:cs="Arial"/>
          <w:b w:val="1"/>
          <w:bCs w:val="1"/>
          <w:color w:val="000000" w:themeColor="text1" w:themeTint="FF" w:themeShade="FF"/>
        </w:rPr>
        <w:t xml:space="preserve"> </w:t>
      </w:r>
      <w:r w:rsidRPr="51862C77" w:rsidR="6E237860">
        <w:rPr>
          <w:rFonts w:ascii="Arial" w:hAnsi="Arial" w:eastAsia="Arial" w:cs="Arial"/>
          <w:b w:val="1"/>
          <w:bCs w:val="1"/>
          <w:color w:val="000000" w:themeColor="text1" w:themeTint="FF" w:themeShade="FF"/>
        </w:rPr>
        <w:t>occurred</w:t>
      </w:r>
      <w:r w:rsidRPr="51862C77" w:rsidR="6E237860">
        <w:rPr>
          <w:rFonts w:ascii="Arial" w:hAnsi="Arial" w:eastAsia="Arial" w:cs="Arial"/>
          <w:b w:val="1"/>
          <w:bCs w:val="1"/>
          <w:color w:val="000000" w:themeColor="text1" w:themeTint="FF" w:themeShade="FF"/>
        </w:rPr>
        <w:t>)</w:t>
      </w:r>
    </w:p>
    <w:p w:rsidR="190D69F7" w:rsidP="51862C77" w:rsidRDefault="190D69F7" w14:paraId="1FF4A05A" w14:textId="16B3219B">
      <w:pPr>
        <w:pStyle w:val="Normal"/>
        <w:spacing w:line="240" w:lineRule="auto"/>
      </w:pPr>
      <w:r w:rsidRPr="51862C77" w:rsidR="3F909C37">
        <w:rPr>
          <w:rFonts w:ascii="Arial" w:hAnsi="Arial" w:eastAsia="Arial" w:cs="Arial"/>
          <w:b w:val="0"/>
          <w:bCs w:val="0"/>
          <w:color w:val="000000" w:themeColor="text1" w:themeTint="FF" w:themeShade="FF"/>
          <w:sz w:val="20"/>
          <w:szCs w:val="20"/>
        </w:rPr>
        <w:t>This section documents the modelling of the medication algorithm for patients in whom exacerbations that have occurred are predominant.</w:t>
      </w:r>
    </w:p>
    <w:p w:rsidR="7F6EF22F" w:rsidP="51862C77" w:rsidRDefault="7F6EF22F" w14:paraId="39EE8F9D" w14:textId="7981EFDA">
      <w:pPr>
        <w:pStyle w:val="Normal"/>
        <w:spacing w:line="240" w:lineRule="auto"/>
        <w:rPr>
          <w:rFonts w:ascii="Arial" w:hAnsi="Arial" w:eastAsia="Arial" w:cs="Arial"/>
          <w:b w:val="0"/>
          <w:bCs w:val="0"/>
          <w:color w:val="000000" w:themeColor="text1" w:themeTint="FF" w:themeShade="FF"/>
          <w:sz w:val="20"/>
          <w:szCs w:val="20"/>
        </w:rPr>
      </w:pPr>
    </w:p>
    <w:p w:rsidR="31A2789C" w:rsidP="51862C77" w:rsidRDefault="31A2789C" w14:paraId="53B38AE4" w14:textId="6EE51839">
      <w:pPr>
        <w:pStyle w:val="Normal"/>
        <w:spacing w:line="240" w:lineRule="auto"/>
        <w:rPr>
          <w:rFonts w:ascii="Arial" w:hAnsi="Arial" w:eastAsia="Arial" w:cs="Arial"/>
          <w:b w:val="1"/>
          <w:bCs w:val="1"/>
          <w:color w:val="000000" w:themeColor="text1" w:themeTint="FF" w:themeShade="FF"/>
          <w:sz w:val="20"/>
          <w:szCs w:val="20"/>
        </w:rPr>
      </w:pPr>
      <w:r w:rsidRPr="51862C77" w:rsidR="15281C56">
        <w:rPr>
          <w:rFonts w:ascii="Arial" w:hAnsi="Arial" w:eastAsia="Arial" w:cs="Arial"/>
          <w:b w:val="1"/>
          <w:bCs w:val="1"/>
          <w:color w:val="000000" w:themeColor="text1" w:themeTint="FF" w:themeShade="FF"/>
          <w:sz w:val="20"/>
          <w:szCs w:val="20"/>
        </w:rPr>
        <w:t xml:space="preserve">Table S2c-1. BPMN </w:t>
      </w:r>
      <w:r w:rsidRPr="51862C77" w:rsidR="15281C56">
        <w:rPr>
          <w:rFonts w:ascii="Arial" w:hAnsi="Arial" w:eastAsia="Arial" w:cs="Arial"/>
          <w:b w:val="1"/>
          <w:bCs w:val="1"/>
          <w:color w:val="000000" w:themeColor="text1" w:themeTint="FF" w:themeShade="FF"/>
          <w:sz w:val="20"/>
          <w:szCs w:val="20"/>
        </w:rPr>
        <w:t>modelling</w:t>
      </w:r>
      <w:r w:rsidRPr="51862C77" w:rsidR="15281C56">
        <w:rPr>
          <w:rFonts w:ascii="Arial" w:hAnsi="Arial" w:eastAsia="Arial" w:cs="Arial"/>
          <w:b w:val="1"/>
          <w:bCs w:val="1"/>
          <w:color w:val="000000" w:themeColor="text1" w:themeTint="FF" w:themeShade="FF"/>
          <w:sz w:val="20"/>
          <w:szCs w:val="20"/>
        </w:rPr>
        <w:t xml:space="preserve"> </w:t>
      </w:r>
      <w:r w:rsidRPr="51862C77" w:rsidR="15281C56">
        <w:rPr>
          <w:rFonts w:ascii="Arial" w:hAnsi="Arial" w:eastAsia="Arial" w:cs="Arial"/>
          <w:b w:val="1"/>
          <w:bCs w:val="1"/>
          <w:color w:val="000000" w:themeColor="text1" w:themeTint="FF" w:themeShade="FF"/>
          <w:sz w:val="20"/>
          <w:szCs w:val="20"/>
        </w:rPr>
        <w:t>decisions</w:t>
      </w:r>
      <w:r w:rsidRPr="51862C77" w:rsidR="15281C56">
        <w:rPr>
          <w:rFonts w:ascii="Arial" w:hAnsi="Arial" w:eastAsia="Arial" w:cs="Arial"/>
          <w:b w:val="1"/>
          <w:bCs w:val="1"/>
          <w:color w:val="000000" w:themeColor="text1" w:themeTint="FF" w:themeShade="FF"/>
          <w:sz w:val="20"/>
          <w:szCs w:val="20"/>
        </w:rPr>
        <w:t xml:space="preserve"> </w:t>
      </w:r>
      <w:r w:rsidRPr="51862C77" w:rsidR="15281C56">
        <w:rPr>
          <w:rFonts w:ascii="Arial" w:hAnsi="Arial" w:eastAsia="Arial" w:cs="Arial"/>
          <w:b w:val="1"/>
          <w:bCs w:val="1"/>
          <w:color w:val="000000" w:themeColor="text1" w:themeTint="FF" w:themeShade="FF"/>
          <w:sz w:val="20"/>
          <w:szCs w:val="20"/>
        </w:rPr>
        <w:t>for</w:t>
      </w:r>
      <w:r w:rsidRPr="51862C77" w:rsidR="15281C56">
        <w:rPr>
          <w:rFonts w:ascii="Arial" w:hAnsi="Arial" w:eastAsia="Arial" w:cs="Arial"/>
          <w:b w:val="1"/>
          <w:bCs w:val="1"/>
          <w:color w:val="000000" w:themeColor="text1" w:themeTint="FF" w:themeShade="FF"/>
          <w:sz w:val="20"/>
          <w:szCs w:val="20"/>
        </w:rPr>
        <w:t xml:space="preserve"> NVL COPD </w:t>
      </w:r>
      <w:r w:rsidRPr="51862C77" w:rsidR="15281C56">
        <w:rPr>
          <w:rFonts w:ascii="Arial" w:hAnsi="Arial" w:eastAsia="Arial" w:cs="Arial"/>
          <w:b w:val="1"/>
          <w:bCs w:val="1"/>
          <w:color w:val="000000" w:themeColor="text1" w:themeTint="FF" w:themeShade="FF"/>
          <w:sz w:val="20"/>
          <w:szCs w:val="20"/>
        </w:rPr>
        <w:t>Section</w:t>
      </w:r>
      <w:r w:rsidRPr="51862C77" w:rsidR="15281C56">
        <w:rPr>
          <w:rFonts w:ascii="Arial" w:hAnsi="Arial" w:eastAsia="Arial" w:cs="Arial"/>
          <w:b w:val="1"/>
          <w:bCs w:val="1"/>
          <w:color w:val="000000" w:themeColor="text1" w:themeTint="FF" w:themeShade="FF"/>
          <w:sz w:val="20"/>
          <w:szCs w:val="20"/>
        </w:rPr>
        <w:t xml:space="preserve"> 5.1.</w:t>
      </w:r>
    </w:p>
    <w:tbl>
      <w:tblPr>
        <w:tblStyle w:val="TableGrid"/>
        <w:bidiVisual w:val="0"/>
        <w:tblW w:w="9015" w:type="dxa"/>
        <w:tblLook w:val="06A0" w:firstRow="1" w:lastRow="0" w:firstColumn="1" w:lastColumn="0" w:noHBand="1" w:noVBand="1"/>
      </w:tblPr>
      <w:tblGrid>
        <w:gridCol w:w="2985"/>
        <w:gridCol w:w="1995"/>
        <w:gridCol w:w="1269"/>
        <w:gridCol w:w="2766"/>
      </w:tblGrid>
      <w:tr w:rsidR="7F6EF22F" w:rsidTr="52C55E83" w14:paraId="7EE68FA6">
        <w:trPr>
          <w:trHeight w:val="300"/>
        </w:trPr>
        <w:tc>
          <w:tcPr>
            <w:tcW w:w="2985" w:type="dxa"/>
            <w:tcBorders>
              <w:top w:val="single" w:sz="8"/>
              <w:left w:val="single" w:sz="8"/>
              <w:bottom w:val="single" w:sz="8"/>
              <w:right w:val="single" w:sz="8"/>
            </w:tcBorders>
            <w:tcMar>
              <w:left w:w="108" w:type="dxa"/>
              <w:right w:w="108" w:type="dxa"/>
            </w:tcMar>
            <w:vAlign w:val="top"/>
          </w:tcPr>
          <w:p w:rsidR="0007C537" w:rsidP="52C55E83" w:rsidRDefault="0007C537" w14:paraId="7E751AB0" w14:textId="248A6741">
            <w:pPr>
              <w:spacing w:before="0" w:beforeAutospacing="off" w:after="0" w:afterAutospacing="off" w:line="240" w:lineRule="auto"/>
              <w:jc w:val="center"/>
              <w:rPr>
                <w:rFonts w:ascii="Arial" w:hAnsi="Arial" w:eastAsia="Arial" w:cs="Arial"/>
                <w:b w:val="1"/>
                <w:bCs w:val="1"/>
                <w:sz w:val="18"/>
                <w:szCs w:val="18"/>
                <w:lang w:val="en-US"/>
              </w:rPr>
            </w:pPr>
            <w:r w:rsidRPr="52C55E83" w:rsidR="0007C537">
              <w:rPr>
                <w:rFonts w:ascii="Arial" w:hAnsi="Arial" w:eastAsia="Arial" w:cs="Arial"/>
                <w:b w:val="1"/>
                <w:bCs w:val="1"/>
                <w:sz w:val="18"/>
                <w:szCs w:val="18"/>
                <w:lang w:val="en-US"/>
              </w:rPr>
              <w:t>Original quote</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5A9ABFEC" w14:textId="6DE700B1">
            <w:pPr>
              <w:spacing w:before="0" w:beforeAutospacing="off" w:after="0" w:afterAutospacing="off" w:line="240" w:lineRule="auto"/>
              <w:jc w:val="center"/>
            </w:pPr>
            <w:r w:rsidRPr="52C55E83" w:rsidR="0007C537">
              <w:rPr>
                <w:rFonts w:ascii="Arial" w:hAnsi="Arial" w:eastAsia="Arial" w:cs="Arial"/>
                <w:b w:val="1"/>
                <w:bCs w:val="1"/>
                <w:sz w:val="18"/>
                <w:szCs w:val="18"/>
                <w:lang w:val="en-US"/>
              </w:rPr>
              <w:t>Translation into English</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273AD754" w14:textId="20B652E4">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Modelling issue</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47DA2BF5" w14:textId="4A28549C">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Modelling decision</w:t>
            </w:r>
          </w:p>
        </w:tc>
      </w:tr>
      <w:tr w:rsidR="7F6EF22F" w:rsidTr="52C55E83" w14:paraId="1E940F85">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1FC4FD15" w14:textId="26EF3350">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 xml:space="preserve">Seite 62: </w:t>
            </w:r>
          </w:p>
          <w:p w:rsidR="52C55E83" w:rsidP="52C55E83" w:rsidRDefault="52C55E83" w14:paraId="072805F3" w14:textId="5A97BE0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In Abbildung 4 steht als Einstieg in diesen Pfad: „Aufgetretene</w:t>
            </w:r>
            <w:r w:rsidRPr="52C55E83" w:rsidR="10EFD489">
              <w:rPr>
                <w:rFonts w:ascii="Arial" w:hAnsi="Arial" w:eastAsia="Arial" w:cs="Arial"/>
                <w:color w:val="000000" w:themeColor="text1" w:themeTint="FF" w:themeShade="FF"/>
                <w:sz w:val="18"/>
                <w:szCs w:val="18"/>
                <w:lang w:val="en-US"/>
              </w:rPr>
              <w:t xml:space="preserve"> </w:t>
            </w:r>
            <w:r w:rsidRPr="52C55E83" w:rsidR="52C55E83">
              <w:rPr>
                <w:rFonts w:ascii="Arial" w:hAnsi="Arial" w:eastAsia="Arial" w:cs="Arial"/>
                <w:color w:val="000000" w:themeColor="text1" w:themeTint="FF" w:themeShade="FF"/>
                <w:sz w:val="18"/>
                <w:szCs w:val="18"/>
                <w:lang w:val="en-US"/>
              </w:rPr>
              <w:t>Exazerbationen vorrangig“.</w:t>
            </w:r>
          </w:p>
          <w:p w:rsidR="52C55E83" w:rsidP="52C55E83" w:rsidRDefault="52C55E83" w14:paraId="3A2F56ED" w14:textId="4A88EEE5">
            <w:pPr>
              <w:bidi w:val="0"/>
              <w:spacing w:before="0" w:beforeAutospacing="off" w:after="0" w:afterAutospacing="off"/>
              <w:rPr>
                <w:rFonts w:ascii="Arial" w:hAnsi="Arial" w:eastAsia="Arial" w:cs="Arial"/>
                <w:color w:val="000000" w:themeColor="text1" w:themeTint="FF" w:themeShade="FF"/>
                <w:sz w:val="18"/>
                <w:szCs w:val="18"/>
              </w:rPr>
            </w:pPr>
          </w:p>
          <w:p w:rsidR="52C55E83" w:rsidP="52C55E83" w:rsidRDefault="52C55E83" w14:paraId="45F29974" w14:textId="15DBE65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63:</w:t>
            </w:r>
          </w:p>
          <w:p w:rsidR="52C55E83" w:rsidP="52C55E83" w:rsidRDefault="52C55E83" w14:paraId="03E8D2D2" w14:textId="5DD9C624">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„Die rechte Seite stellt mögliche Therapien bei Patient*innen da, welche vermehrt Exazerbationen in der Anamnese oder im Krankheitsverlauf erlebt haben …“</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6493DEE2" w14:textId="57F5947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Figure 4 starts the right-hand pathway with 'Exacerbations that have occurred are predominant'. The narrative describes therapies for patients with increased exacerbations in history or disease course.</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34E8F218" w14:textId="0BDE695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does not define a true start event, but assumes an already established clinical classification.</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2D9895F7" w14:textId="4617013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BPMN model starts with 'Exacerbations are predominant'. It does not model the prior assessment of exacerbations, but starts from the already established clinical state.</w:t>
            </w:r>
          </w:p>
        </w:tc>
      </w:tr>
      <w:tr w:rsidR="7F6EF22F" w:rsidTr="52C55E83" w14:paraId="0B36B850">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01904A22" w14:textId="5703B777">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62:</w:t>
            </w:r>
          </w:p>
          <w:p w:rsidR="52C55E83" w:rsidP="52C55E83" w:rsidRDefault="52C55E83" w14:paraId="773931CC" w14:textId="75BF638F">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w:t>
            </w:r>
            <w:r w:rsidRPr="52C55E83" w:rsidR="52C55E83">
              <w:rPr>
                <w:rFonts w:ascii="Arial" w:hAnsi="Arial" w:eastAsia="Arial" w:cs="Arial"/>
                <w:color w:val="000000" w:themeColor="text1" w:themeTint="FF" w:themeShade="FF"/>
                <w:sz w:val="18"/>
                <w:szCs w:val="18"/>
                <w:lang w:val="en-US"/>
              </w:rPr>
              <w:t>Therapienaiv</w:t>
            </w:r>
            <w:r w:rsidRPr="52C55E83" w:rsidR="52C55E83">
              <w:rPr>
                <w:rFonts w:ascii="Arial" w:hAnsi="Arial" w:eastAsia="Arial" w:cs="Arial"/>
                <w:color w:val="000000" w:themeColor="text1" w:themeTint="FF" w:themeShade="FF"/>
                <w:sz w:val="18"/>
                <w:szCs w:val="18"/>
                <w:lang w:val="en-US"/>
              </w:rPr>
              <w:t xml:space="preserve">? … ja … </w:t>
            </w:r>
            <w:r w:rsidRPr="52C55E83" w:rsidR="52C55E83">
              <w:rPr>
                <w:rFonts w:ascii="Arial" w:hAnsi="Arial" w:eastAsia="Arial" w:cs="Arial"/>
                <w:color w:val="000000" w:themeColor="text1" w:themeTint="FF" w:themeShade="FF"/>
                <w:sz w:val="18"/>
                <w:szCs w:val="18"/>
                <w:lang w:val="en-US"/>
              </w:rPr>
              <w:t>nein</w:t>
            </w:r>
            <w:r w:rsidRPr="52C55E83" w:rsidR="52C55E83">
              <w:rPr>
                <w:rFonts w:ascii="Arial" w:hAnsi="Arial" w:eastAsia="Arial" w:cs="Arial"/>
                <w:color w:val="000000" w:themeColor="text1" w:themeTint="FF" w:themeShade="FF"/>
                <w:sz w:val="18"/>
                <w:szCs w:val="18"/>
                <w:lang w:val="en-US"/>
              </w:rPr>
              <w:t xml:space="preserve">“. </w:t>
            </w:r>
            <w:r w:rsidRPr="52C55E83" w:rsidR="52C55E83">
              <w:rPr>
                <w:rFonts w:ascii="Arial" w:hAnsi="Arial" w:eastAsia="Arial" w:cs="Arial"/>
                <w:color w:val="000000" w:themeColor="text1" w:themeTint="FF" w:themeShade="FF"/>
                <w:sz w:val="18"/>
                <w:szCs w:val="18"/>
                <w:lang w:val="en-US"/>
              </w:rPr>
              <w:t>Fußnote</w:t>
            </w:r>
            <w:r w:rsidRPr="52C55E83" w:rsidR="52C55E83">
              <w:rPr>
                <w:rFonts w:ascii="Arial" w:hAnsi="Arial" w:eastAsia="Arial" w:cs="Arial"/>
                <w:color w:val="000000" w:themeColor="text1" w:themeTint="FF" w:themeShade="FF"/>
                <w:sz w:val="18"/>
                <w:szCs w:val="18"/>
                <w:lang w:val="en-US"/>
              </w:rPr>
              <w:t xml:space="preserve"> 1 </w:t>
            </w:r>
            <w:r w:rsidRPr="52C55E83" w:rsidR="52C55E83">
              <w:rPr>
                <w:rFonts w:ascii="Arial" w:hAnsi="Arial" w:eastAsia="Arial" w:cs="Arial"/>
                <w:color w:val="000000" w:themeColor="text1" w:themeTint="FF" w:themeShade="FF"/>
                <w:sz w:val="18"/>
                <w:szCs w:val="18"/>
                <w:lang w:val="en-US"/>
              </w:rPr>
              <w:t>ergänzt</w:t>
            </w:r>
            <w:r w:rsidRPr="52C55E83" w:rsidR="52C55E83">
              <w:rPr>
                <w:rFonts w:ascii="Arial" w:hAnsi="Arial" w:eastAsia="Arial" w:cs="Arial"/>
                <w:color w:val="000000" w:themeColor="text1" w:themeTint="FF" w:themeShade="FF"/>
                <w:sz w:val="18"/>
                <w:szCs w:val="18"/>
                <w:lang w:val="en-US"/>
              </w:rPr>
              <w:t xml:space="preserve">: „Bei </w:t>
            </w:r>
            <w:r w:rsidRPr="52C55E83" w:rsidR="52C55E83">
              <w:rPr>
                <w:rFonts w:ascii="Arial" w:hAnsi="Arial" w:eastAsia="Arial" w:cs="Arial"/>
                <w:color w:val="000000" w:themeColor="text1" w:themeTint="FF" w:themeShade="FF"/>
                <w:sz w:val="18"/>
                <w:szCs w:val="18"/>
                <w:lang w:val="en-US"/>
              </w:rPr>
              <w:t>bereits</w:t>
            </w:r>
            <w:r w:rsidRPr="52C55E83" w:rsidR="52C55E83">
              <w:rPr>
                <w:rFonts w:ascii="Arial" w:hAnsi="Arial" w:eastAsia="Arial" w:cs="Arial"/>
                <w:color w:val="000000" w:themeColor="text1" w:themeTint="FF" w:themeShade="FF"/>
                <w:sz w:val="18"/>
                <w:szCs w:val="18"/>
                <w:lang w:val="en-US"/>
              </w:rPr>
              <w:t xml:space="preserve"> </w:t>
            </w:r>
            <w:r w:rsidRPr="52C55E83" w:rsidR="52C55E83">
              <w:rPr>
                <w:rFonts w:ascii="Arial" w:hAnsi="Arial" w:eastAsia="Arial" w:cs="Arial"/>
                <w:color w:val="000000" w:themeColor="text1" w:themeTint="FF" w:themeShade="FF"/>
                <w:sz w:val="18"/>
                <w:szCs w:val="18"/>
                <w:lang w:val="en-US"/>
              </w:rPr>
              <w:t>mit</w:t>
            </w:r>
            <w:r w:rsidRPr="52C55E83" w:rsidR="52C55E83">
              <w:rPr>
                <w:rFonts w:ascii="Arial" w:hAnsi="Arial" w:eastAsia="Arial" w:cs="Arial"/>
                <w:color w:val="000000" w:themeColor="text1" w:themeTint="FF" w:themeShade="FF"/>
                <w:sz w:val="18"/>
                <w:szCs w:val="18"/>
                <w:lang w:val="en-US"/>
              </w:rPr>
              <w:t xml:space="preserve"> der </w:t>
            </w:r>
            <w:r w:rsidRPr="52C55E83" w:rsidR="52C55E83">
              <w:rPr>
                <w:rFonts w:ascii="Arial" w:hAnsi="Arial" w:eastAsia="Arial" w:cs="Arial"/>
                <w:color w:val="000000" w:themeColor="text1" w:themeTint="FF" w:themeShade="FF"/>
                <w:sz w:val="18"/>
                <w:szCs w:val="18"/>
                <w:lang w:val="en-US"/>
              </w:rPr>
              <w:t>Kombination</w:t>
            </w:r>
            <w:r w:rsidRPr="52C55E83" w:rsidR="52C55E83">
              <w:rPr>
                <w:rFonts w:ascii="Arial" w:hAnsi="Arial" w:eastAsia="Arial" w:cs="Arial"/>
                <w:color w:val="000000" w:themeColor="text1" w:themeTint="FF" w:themeShade="FF"/>
                <w:sz w:val="18"/>
                <w:szCs w:val="18"/>
                <w:lang w:val="en-US"/>
              </w:rPr>
              <w:t xml:space="preserve"> LABA/ICS </w:t>
            </w:r>
            <w:r w:rsidRPr="52C55E83" w:rsidR="52C55E83">
              <w:rPr>
                <w:rFonts w:ascii="Arial" w:hAnsi="Arial" w:eastAsia="Arial" w:cs="Arial"/>
                <w:color w:val="000000" w:themeColor="text1" w:themeTint="FF" w:themeShade="FF"/>
                <w:sz w:val="18"/>
                <w:szCs w:val="18"/>
                <w:lang w:val="en-US"/>
              </w:rPr>
              <w:t>vorbehandelten</w:t>
            </w:r>
            <w:r w:rsidRPr="52C55E83" w:rsidR="566680D6">
              <w:rPr>
                <w:rFonts w:ascii="Arial" w:hAnsi="Arial" w:eastAsia="Arial" w:cs="Arial"/>
                <w:color w:val="000000" w:themeColor="text1" w:themeTint="FF" w:themeShade="FF"/>
                <w:sz w:val="18"/>
                <w:szCs w:val="18"/>
                <w:lang w:val="en-US"/>
              </w:rPr>
              <w:t xml:space="preserve"> </w:t>
            </w:r>
            <w:r w:rsidRPr="52C55E83" w:rsidR="52C55E83">
              <w:rPr>
                <w:rFonts w:ascii="Arial" w:hAnsi="Arial" w:eastAsia="Arial" w:cs="Arial"/>
                <w:color w:val="000000" w:themeColor="text1" w:themeTint="FF" w:themeShade="FF"/>
                <w:sz w:val="18"/>
                <w:szCs w:val="18"/>
                <w:lang w:val="en-US"/>
              </w:rPr>
              <w:t>Patient</w:t>
            </w:r>
            <w:r w:rsidRPr="52C55E83" w:rsidR="52C55E83">
              <w:rPr>
                <w:rFonts w:ascii="Arial" w:hAnsi="Arial" w:eastAsia="Arial" w:cs="Arial"/>
                <w:color w:val="000000" w:themeColor="text1" w:themeTint="FF" w:themeShade="FF"/>
                <w:sz w:val="18"/>
                <w:szCs w:val="18"/>
                <w:lang w:val="en-US"/>
              </w:rPr>
              <w:t>*</w:t>
            </w:r>
            <w:r w:rsidRPr="52C55E83" w:rsidR="52C55E83">
              <w:rPr>
                <w:rFonts w:ascii="Arial" w:hAnsi="Arial" w:eastAsia="Arial" w:cs="Arial"/>
                <w:color w:val="000000" w:themeColor="text1" w:themeTint="FF" w:themeShade="FF"/>
                <w:sz w:val="18"/>
                <w:szCs w:val="18"/>
                <w:lang w:val="en-US"/>
              </w:rPr>
              <w:t>innen</w:t>
            </w:r>
            <w:r w:rsidRPr="52C55E83" w:rsidR="52C55E83">
              <w:rPr>
                <w:rFonts w:ascii="Arial" w:hAnsi="Arial" w:eastAsia="Arial" w:cs="Arial"/>
                <w:color w:val="000000" w:themeColor="text1" w:themeTint="FF" w:themeShade="FF"/>
                <w:sz w:val="18"/>
                <w:szCs w:val="18"/>
                <w:lang w:val="en-US"/>
              </w:rPr>
              <w:t xml:space="preserve"> </w:t>
            </w:r>
            <w:r w:rsidRPr="52C55E83" w:rsidR="52C55E83">
              <w:rPr>
                <w:rFonts w:ascii="Arial" w:hAnsi="Arial" w:eastAsia="Arial" w:cs="Arial"/>
                <w:color w:val="000000" w:themeColor="text1" w:themeTint="FF" w:themeShade="FF"/>
                <w:sz w:val="18"/>
                <w:szCs w:val="18"/>
                <w:lang w:val="en-US"/>
              </w:rPr>
              <w:t>ist</w:t>
            </w:r>
            <w:r w:rsidRPr="52C55E83" w:rsidR="52C55E83">
              <w:rPr>
                <w:rFonts w:ascii="Arial" w:hAnsi="Arial" w:eastAsia="Arial" w:cs="Arial"/>
                <w:color w:val="000000" w:themeColor="text1" w:themeTint="FF" w:themeShade="FF"/>
                <w:sz w:val="18"/>
                <w:szCs w:val="18"/>
                <w:lang w:val="en-US"/>
              </w:rPr>
              <w:t xml:space="preserve"> die </w:t>
            </w:r>
            <w:r w:rsidRPr="52C55E83" w:rsidR="52C55E83">
              <w:rPr>
                <w:rFonts w:ascii="Arial" w:hAnsi="Arial" w:eastAsia="Arial" w:cs="Arial"/>
                <w:color w:val="000000" w:themeColor="text1" w:themeTint="FF" w:themeShade="FF"/>
                <w:sz w:val="18"/>
                <w:szCs w:val="18"/>
                <w:lang w:val="en-US"/>
              </w:rPr>
              <w:t>Überprüfung</w:t>
            </w:r>
            <w:r w:rsidRPr="52C55E83" w:rsidR="52C55E83">
              <w:rPr>
                <w:rFonts w:ascii="Arial" w:hAnsi="Arial" w:eastAsia="Arial" w:cs="Arial"/>
                <w:color w:val="000000" w:themeColor="text1" w:themeTint="FF" w:themeShade="FF"/>
                <w:sz w:val="18"/>
                <w:szCs w:val="18"/>
                <w:lang w:val="en-US"/>
              </w:rPr>
              <w:t xml:space="preserve"> der </w:t>
            </w:r>
            <w:r w:rsidRPr="52C55E83" w:rsidR="52C55E83">
              <w:rPr>
                <w:rFonts w:ascii="Arial" w:hAnsi="Arial" w:eastAsia="Arial" w:cs="Arial"/>
                <w:color w:val="000000" w:themeColor="text1" w:themeTint="FF" w:themeShade="FF"/>
                <w:sz w:val="18"/>
                <w:szCs w:val="18"/>
                <w:lang w:val="en-US"/>
              </w:rPr>
              <w:t>Indikation</w:t>
            </w:r>
            <w:r w:rsidRPr="52C55E83" w:rsidR="52C55E83">
              <w:rPr>
                <w:rFonts w:ascii="Arial" w:hAnsi="Arial" w:eastAsia="Arial" w:cs="Arial"/>
                <w:color w:val="000000" w:themeColor="text1" w:themeTint="FF" w:themeShade="FF"/>
                <w:sz w:val="18"/>
                <w:szCs w:val="18"/>
                <w:lang w:val="en-US"/>
              </w:rPr>
              <w:t xml:space="preserve"> für </w:t>
            </w:r>
            <w:r w:rsidRPr="52C55E83" w:rsidR="52C55E83">
              <w:rPr>
                <w:rFonts w:ascii="Arial" w:hAnsi="Arial" w:eastAsia="Arial" w:cs="Arial"/>
                <w:color w:val="000000" w:themeColor="text1" w:themeTint="FF" w:themeShade="FF"/>
                <w:sz w:val="18"/>
                <w:szCs w:val="18"/>
                <w:lang w:val="en-US"/>
              </w:rPr>
              <w:t>eine</w:t>
            </w:r>
            <w:r w:rsidRPr="52C55E83" w:rsidR="52C55E83">
              <w:rPr>
                <w:rFonts w:ascii="Arial" w:hAnsi="Arial" w:eastAsia="Arial" w:cs="Arial"/>
                <w:color w:val="000000" w:themeColor="text1" w:themeTint="FF" w:themeShade="FF"/>
                <w:sz w:val="18"/>
                <w:szCs w:val="18"/>
                <w:lang w:val="en-US"/>
              </w:rPr>
              <w:t xml:space="preserve"> ICS-Gabe </w:t>
            </w:r>
            <w:r w:rsidRPr="52C55E83" w:rsidR="52C55E83">
              <w:rPr>
                <w:rFonts w:ascii="Arial" w:hAnsi="Arial" w:eastAsia="Arial" w:cs="Arial"/>
                <w:color w:val="000000" w:themeColor="text1" w:themeTint="FF" w:themeShade="FF"/>
                <w:sz w:val="18"/>
                <w:szCs w:val="18"/>
                <w:lang w:val="en-US"/>
              </w:rPr>
              <w:t>zu</w:t>
            </w:r>
            <w:r w:rsidRPr="52C55E83" w:rsidR="52C55E83">
              <w:rPr>
                <w:rFonts w:ascii="Arial" w:hAnsi="Arial" w:eastAsia="Arial" w:cs="Arial"/>
                <w:color w:val="000000" w:themeColor="text1" w:themeTint="FF" w:themeShade="FF"/>
                <w:sz w:val="18"/>
                <w:szCs w:val="18"/>
                <w:lang w:val="en-US"/>
              </w:rPr>
              <w:t xml:space="preserve"> </w:t>
            </w:r>
            <w:r w:rsidRPr="52C55E83" w:rsidR="52C55E83">
              <w:rPr>
                <w:rFonts w:ascii="Arial" w:hAnsi="Arial" w:eastAsia="Arial" w:cs="Arial"/>
                <w:color w:val="000000" w:themeColor="text1" w:themeTint="FF" w:themeShade="FF"/>
                <w:sz w:val="18"/>
                <w:szCs w:val="18"/>
                <w:lang w:val="en-US"/>
              </w:rPr>
              <w:t>prüfen</w:t>
            </w:r>
            <w:r w:rsidRPr="52C55E83" w:rsidR="52C55E83">
              <w:rPr>
                <w:rFonts w:ascii="Arial" w:hAnsi="Arial" w:eastAsia="Arial" w:cs="Arial"/>
                <w:color w:val="000000" w:themeColor="text1" w:themeTint="FF" w:themeShade="FF"/>
                <w:sz w:val="18"/>
                <w:szCs w:val="18"/>
                <w:lang w:val="en-US"/>
              </w:rPr>
              <w:t>.“</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7CFD675F" w14:textId="74CF2BB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Figure 4: 'Therapy-naive? yes/no'.</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30DDC544" w14:textId="223D633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yes/no split is explicit, but 'therapy-naive' is not formally operationalised in the excerpt.</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4BE664F7" w14:textId="16614B4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An exclusive gateway 'Therapy-naive?' was modelled. For a later DMN implementation, the condition would need clearer operational criteria, such as no relevant prior long-term inhaled therapy.</w:t>
            </w:r>
          </w:p>
        </w:tc>
      </w:tr>
      <w:tr w:rsidR="7F6EF22F" w:rsidTr="52C55E83" w14:paraId="0FBE8F1C">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5A9BD271" w14:textId="05EE027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62-63:</w:t>
            </w:r>
          </w:p>
          <w:p w:rsidR="52C55E83" w:rsidP="52C55E83" w:rsidRDefault="52C55E83" w14:paraId="28FFCB8A" w14:textId="7C859E87">
            <w:pPr>
              <w:pStyle w:val="ListParagraph"/>
              <w:numPr>
                <w:ilvl w:val="0"/>
                <w:numId w:val="56"/>
              </w:num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Algorithmus bei „ja“: „LAMA oder LAMA + LABA“</w:t>
            </w:r>
          </w:p>
          <w:p w:rsidR="52C55E83" w:rsidP="52C55E83" w:rsidRDefault="52C55E83" w14:paraId="391EB282" w14:textId="36C80FA9">
            <w:pPr>
              <w:pStyle w:val="ListParagraph"/>
              <w:numPr>
                <w:ilvl w:val="0"/>
                <w:numId w:val="56"/>
              </w:num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Narrativ: „In den unterschiedlichenTherapiestufen sind teils mehrereAlternativen pro Kasten … aufgeführt. Welche davon im individuellen Fall in Frage kommen, müssen Ärztinnen und Patientinnen vor dem Hintergrund der persönlichen Umstände sowie der zuerwartenden Wirkungen und Nebenwirkungen entscheiden.“</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13D897A0" w14:textId="3275E71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For therapy-naive patients, the algorithm lists 'LAMA or LAMA + LABA'. The narrative states that several alternatives may be shown and that physicians and patients choose based on individual circumstances and expected effects and side effects.</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3B6A6D29" w14:textId="11F4D08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shows two alternatives in one box, but they are not parallel actions.</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417E7C21" w14:textId="6D0611F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alternatives were modelled as one physician task, 'Select initial therapy: LAMA or LAMA + LABA'. This reflects a clinical choice rather than simultaneous treatment paths.</w:t>
            </w:r>
          </w:p>
        </w:tc>
      </w:tr>
      <w:tr w:rsidR="7F6EF22F" w:rsidTr="52C55E83" w14:paraId="3DE13A2A">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4DAE1C98" w14:textId="21DF097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62:</w:t>
            </w:r>
            <w:r>
              <w:br/>
            </w:r>
            <w:r w:rsidRPr="52C55E83" w:rsidR="52C55E83">
              <w:rPr>
                <w:rFonts w:ascii="Arial" w:hAnsi="Arial" w:eastAsia="Arial" w:cs="Arial"/>
                <w:color w:val="000000" w:themeColor="text1" w:themeTint="FF" w:themeShade="FF"/>
                <w:sz w:val="18"/>
                <w:szCs w:val="18"/>
                <w:lang w:val="en-US"/>
              </w:rPr>
              <w:t>Der Algorithmus unterscheidet nachTherapienaiv? den nein-Pfad und zeigtdarunter die Eskalationsstufen mit„Vorbehandelt mit:“ und „Eskalationauf:“. Dabei werden als VorbehandlungLAMA, LAMA + LABA oder LABA + ICS berücksichtigt. Außerdem gilt: „Vor jeder Eskalation ist die Adhärenz zurmedikamentösen Therapie sowie die Inhalationstechnik zu prüfen.“</w:t>
            </w:r>
          </w:p>
          <w:p w:rsidR="52C55E83" w:rsidP="52C55E83" w:rsidRDefault="52C55E83" w14:paraId="3A33D902" w14:textId="58A4C3AE">
            <w:pPr>
              <w:bidi w:val="0"/>
              <w:spacing w:before="0" w:beforeAutospacing="off" w:after="0" w:afterAutospacing="off"/>
              <w:rPr>
                <w:rFonts w:ascii="Arial" w:hAnsi="Arial" w:eastAsia="Arial" w:cs="Arial"/>
                <w:color w:val="000000" w:themeColor="text1" w:themeTint="FF" w:themeShade="FF"/>
                <w:sz w:val="18"/>
                <w:szCs w:val="18"/>
              </w:rPr>
            </w:pPr>
          </w:p>
          <w:p w:rsidR="52C55E83" w:rsidP="52C55E83" w:rsidRDefault="52C55E83" w14:paraId="6DD82FE4" w14:textId="6C3930C9">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65:</w:t>
            </w:r>
            <w:r>
              <w:br/>
            </w:r>
            <w:r w:rsidRPr="52C55E83" w:rsidR="52C55E83">
              <w:rPr>
                <w:rFonts w:ascii="Arial" w:hAnsi="Arial" w:eastAsia="Arial" w:cs="Arial"/>
                <w:color w:val="000000" w:themeColor="text1" w:themeTint="FF" w:themeShade="FF"/>
                <w:sz w:val="18"/>
                <w:szCs w:val="18"/>
                <w:lang w:val="en-US"/>
              </w:rPr>
              <w:t>„Die vorliegende Evidenz stützt die Kombination von LAMA und LABA alsnächste Eskalationsstufe.“</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2165E2F3" w14:textId="79EC1D9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distinguishes therapy-naive from pretreated patients and then shows escalation levels.</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7D163A58" w14:textId="2DD7A84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After 'Therapy-naive? = yes', the excerpt does not show direct escalation in the same pathway.</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5A1CE50E" w14:textId="091C051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yes-path ends with 'Initial exacerbation-focused therapy selected'. This does not exclude later escalation, but places it outside the initial pathway or in a later clinical contact.</w:t>
            </w:r>
          </w:p>
        </w:tc>
      </w:tr>
      <w:tr w:rsidR="7F6EF22F" w:rsidTr="52C55E83" w14:paraId="1C8B8489">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393FDBF4" w14:textId="6AC81ABE">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62:</w:t>
            </w:r>
          </w:p>
          <w:p w:rsidR="52C55E83" w:rsidP="52C55E83" w:rsidRDefault="52C55E83" w14:paraId="1A65C1BE" w14:textId="609F4981">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Algorithmus bei „nein“: „LAMA + LABA“</w:t>
            </w:r>
          </w:p>
          <w:p w:rsidR="52C55E83" w:rsidP="52C55E83" w:rsidRDefault="52C55E83" w14:paraId="044FF983" w14:textId="4CBD09CC">
            <w:pPr>
              <w:bidi w:val="0"/>
              <w:spacing w:before="0" w:beforeAutospacing="off" w:after="0" w:afterAutospacing="off"/>
              <w:rPr>
                <w:rFonts w:ascii="Arial" w:hAnsi="Arial" w:eastAsia="Arial" w:cs="Arial"/>
                <w:color w:val="000000" w:themeColor="text1" w:themeTint="FF" w:themeShade="FF"/>
                <w:sz w:val="18"/>
                <w:szCs w:val="18"/>
              </w:rPr>
            </w:pPr>
          </w:p>
          <w:p w:rsidR="52C55E83" w:rsidP="52C55E83" w:rsidRDefault="52C55E83" w14:paraId="629E9223" w14:textId="677169EC">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65:</w:t>
            </w:r>
          </w:p>
          <w:p w:rsidR="52C55E83" w:rsidP="52C55E83" w:rsidRDefault="52C55E83" w14:paraId="3DE8BFF6" w14:textId="20AD0077">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Narrativ zur LAMA/LABA-Eskalation: „Die vorliegende Evidenz stützt die Kombination von LAMA und LABA alsnächste Eskalationsstufe.“</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24AF96C8" w14:textId="08DDB9B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For 'Therapy-naive? = no', the algorithm leads to 'LAMA + LABA'. The narrative supports LAMA/LABA as the next escalation step.</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7D8E6E73" w14:textId="594B4A5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and narrative use LAMA + LABA as a target or intermediate step for pretreated patients.</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44EA1808" w14:textId="55A8110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task was labelled 'Select / continue LAMA + LABA or LAMA'. It is not modelled as a final end state because subsequent escalation logic may still apply.</w:t>
            </w:r>
          </w:p>
        </w:tc>
      </w:tr>
      <w:tr w:rsidR="7F6EF22F" w:rsidTr="52C55E83" w14:paraId="4839ADAE">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7006BA4F" w14:textId="2EB425CA">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 xml:space="preserve">Seite 62: </w:t>
            </w:r>
          </w:p>
          <w:p w:rsidR="52C55E83" w:rsidP="52C55E83" w:rsidRDefault="52C55E83" w14:paraId="5730260B" w14:textId="5868994A">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„Vor jeder Eskalation ist die Adhärenzzur medikamentösen Therapie sowiedie Inhalationstechnik zu prüfen.“</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780F6E62" w14:textId="4D19FC0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Before each escalation, adherence to medication and inhalation technique must be checked.</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36FF7B8E" w14:textId="0FA42BE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It had to be decided whether this check should be repeated before each escalation step or placed once before the escalation pathway.</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6B78F786" w14:textId="5D9572D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check was modelled centrally before the pretreatment gateway. This keeps the BPMN readable while preserving the requirement that all escalation paths depend on this prerequisite.</w:t>
            </w:r>
          </w:p>
        </w:tc>
      </w:tr>
      <w:tr w:rsidR="7F6EF22F" w:rsidTr="52C55E83" w14:paraId="67990763">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1ACB24A5" w14:textId="145CE918">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 xml:space="preserve">Seite 62: </w:t>
            </w:r>
          </w:p>
          <w:p w:rsidR="52C55E83" w:rsidP="52C55E83" w:rsidRDefault="52C55E83" w14:paraId="4E67EA4E" w14:textId="30E5A3F3">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„Vorbehandelt mit:“ mit den Optionen„LAMA“ sowie „LAMA + LABA oder LABA + ICS“</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7AA113D4" w14:textId="3912544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lists pretreatment with LAMA, LAMA + LABA, or LABA + ICS.</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2A4769CD" w14:textId="23DF77E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is closer to a table mapping pretreatment to escalation than to a classical process split.</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68CBA410" w14:textId="4EF214E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was translated into the gateway 'Current pretreatment?' with three outgoing paths: LAMA, LAMA + LABA, and LABA + ICS.</w:t>
            </w:r>
          </w:p>
        </w:tc>
      </w:tr>
      <w:tr w:rsidR="7F6EF22F" w:rsidTr="52C55E83" w14:paraId="2A051C60">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599E5AA4" w14:textId="43908105">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 xml:space="preserve">Seite 62: </w:t>
            </w:r>
          </w:p>
          <w:p w:rsidR="52C55E83" w:rsidP="52C55E83" w:rsidRDefault="52C55E83" w14:paraId="3E9CBEDC" w14:textId="4D146AE4">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„Vorbehandelt mit: LAMA“ →„Eskalation auf: LAMA + LABA“.</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247CE363" w14:textId="559A3A3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Pretreated with LAMA -&gt; escalation to LAMA + LABA.</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5E786600" w14:textId="7B7DAF0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escalation is explicitly visible in the algorithm.</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3254F1E7" w14:textId="50F81E6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step was modelled as the user task 'Escalate from LAMA to LAMA + LABA' rather than being hidden entirely in DMN.</w:t>
            </w:r>
          </w:p>
        </w:tc>
      </w:tr>
      <w:tr w:rsidR="7F6EF22F" w:rsidTr="52C55E83" w14:paraId="740EDF38">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4F4D0C02" w14:textId="23EA3004">
            <w:pPr>
              <w:bidi w:val="0"/>
              <w:spacing w:before="0" w:beforeAutospacing="off" w:after="0" w:afterAutospacing="off" w:line="279" w:lineRule="auto"/>
              <w:ind w:right="0"/>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Seite 62:</w:t>
            </w:r>
          </w:p>
          <w:p w:rsidR="52C55E83" w:rsidP="52C55E83" w:rsidRDefault="52C55E83" w14:paraId="233098B4" w14:textId="16DA5F03">
            <w:pPr>
              <w:bidi w:val="0"/>
              <w:spacing w:before="0" w:beforeAutospacing="off" w:after="0" w:afterAutospacing="off" w:line="279" w:lineRule="auto"/>
              <w:ind w:right="0"/>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Algorithmus-Fußnote 1: „Bei bereits mit der Kombination LABA/ICS vorbehandelten Patient*innen ist die Überprüfung der Indikation für eine ICS-Gabe zu prüfen.“</w:t>
            </w:r>
          </w:p>
          <w:p w:rsidR="52C55E83" w:rsidP="52C55E83" w:rsidRDefault="52C55E83" w14:paraId="2B97DB32" w14:textId="31EBA064">
            <w:pPr>
              <w:bidi w:val="0"/>
              <w:spacing w:before="0" w:beforeAutospacing="off" w:after="0" w:afterAutospacing="off" w:line="279" w:lineRule="auto"/>
              <w:ind w:left="360" w:right="0"/>
              <w:jc w:val="left"/>
              <w:rPr>
                <w:rFonts w:ascii="Arial" w:hAnsi="Arial" w:eastAsia="Arial" w:cs="Arial"/>
                <w:color w:val="000000" w:themeColor="text1" w:themeTint="FF" w:themeShade="FF"/>
                <w:sz w:val="18"/>
                <w:szCs w:val="18"/>
              </w:rPr>
            </w:pPr>
          </w:p>
          <w:p w:rsidR="52C55E83" w:rsidP="52C55E83" w:rsidRDefault="52C55E83" w14:paraId="323187AF" w14:textId="37811817">
            <w:pPr>
              <w:bidi w:val="0"/>
              <w:spacing w:before="0" w:beforeAutospacing="off" w:after="0" w:afterAutospacing="off" w:line="279" w:lineRule="auto"/>
              <w:ind w:right="0"/>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Seite 65:</w:t>
            </w:r>
          </w:p>
          <w:p w:rsidR="52C55E83" w:rsidP="52C55E83" w:rsidRDefault="52C55E83" w14:paraId="506941CE" w14:textId="3C2C8A47">
            <w:pPr>
              <w:bidi w:val="0"/>
              <w:spacing w:before="0" w:beforeAutospacing="off" w:after="0" w:afterAutospacing="off" w:line="279" w:lineRule="auto"/>
              <w:ind w:right="0"/>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Narrativ: „… empfiehlt … die Indikation für eine ICS-Gabe regelmäßig zu überprüfen und dies abzusetzen, wenn die Indikation nicht (mehr) besteht.“</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2EEF7129" w14:textId="4FE45D0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For patients pretreated with LABA/ICS, the indication for ICS must be checked. The narrative states that the indication for ICS should be reviewed regularly and ICS discontinued if the indication no longer exists.</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4801B023" w14:textId="299B7CB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mentions triple therapy, but the ICS indication is specified mainly through footnotes and narrative text.</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0890366F" w14:textId="3197400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check was modelled as the business rule task 'Check ICS indication before triple therapy'. Thresholds such as eosinophil counts are better represented in DMN than in BPMN.</w:t>
            </w:r>
          </w:p>
        </w:tc>
      </w:tr>
      <w:tr w:rsidR="7F6EF22F" w:rsidTr="52C55E83" w14:paraId="792110A8">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75F4E567" w14:textId="243A987C">
            <w:pPr>
              <w:bidi w:val="0"/>
              <w:spacing w:line="279" w:lineRule="auto"/>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Seite 62: </w:t>
            </w:r>
            <w:r>
              <w:br/>
            </w:r>
            <w:r w:rsidRPr="52C55E83" w:rsidR="52C55E83">
              <w:rPr>
                <w:rFonts w:ascii="Arial" w:hAnsi="Arial" w:eastAsia="Arial" w:cs="Arial"/>
                <w:color w:val="000000" w:themeColor="text1" w:themeTint="FF" w:themeShade="FF"/>
                <w:sz w:val="18"/>
                <w:szCs w:val="18"/>
                <w:lang w:val="de-DE"/>
              </w:rPr>
              <w:t>„Vorbehandelt mit: LAMA + LABA oder LABA + ICS“ → „Eskalation auf: LAMA + LABA + ICS“.</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0A4973FF" w14:textId="3EC84E4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Pretreated with LAMA + LABA or LABA + ICS -&gt; escalation to LAMA + LABA + ICS.</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03B63BA2" w14:textId="0BBBE1F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Triple therapy must not appear as an automatic consequence of LAMA + LABA; it depends on the prior ICS check.</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6E9736B6" w14:textId="4D9E450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task 'Escalate from LAMA + LABA to LAMA + LABA + ICS' follows only after a positive or not excluded ICS indication.</w:t>
            </w:r>
          </w:p>
        </w:tc>
      </w:tr>
      <w:tr w:rsidR="7F6EF22F" w:rsidTr="52C55E83" w14:paraId="593574D3">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098B76E3" w14:textId="0AEF6E6A">
            <w:pPr>
              <w:bidi w:val="0"/>
              <w:spacing w:line="279" w:lineRule="auto"/>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Seite 62: Fußnote 1: </w:t>
            </w:r>
            <w:r>
              <w:br/>
            </w:r>
            <w:r w:rsidRPr="52C55E83" w:rsidR="52C55E83">
              <w:rPr>
                <w:rFonts w:ascii="Arial" w:hAnsi="Arial" w:eastAsia="Arial" w:cs="Arial"/>
                <w:color w:val="000000" w:themeColor="text1" w:themeTint="FF" w:themeShade="FF"/>
                <w:sz w:val="18"/>
                <w:szCs w:val="18"/>
                <w:lang w:val="de-DE"/>
              </w:rPr>
              <w:t xml:space="preserve">„Bei bereits mit der Kombination LABA/ICS vorbehandelten Patient*innen ist die Überprüfung der Indikation für eine ICS-Gabe zu prüfen.“ </w:t>
            </w:r>
          </w:p>
          <w:p w:rsidR="52C55E83" w:rsidP="52C55E83" w:rsidRDefault="52C55E83" w14:paraId="67BAB7AF" w14:textId="7F481109">
            <w:pPr>
              <w:bidi w:val="0"/>
              <w:spacing w:line="279" w:lineRule="auto"/>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Seite 67–68: </w:t>
            </w:r>
            <w:r>
              <w:br/>
            </w:r>
            <w:r w:rsidRPr="52C55E83" w:rsidR="52C55E83">
              <w:rPr>
                <w:rFonts w:ascii="Arial" w:hAnsi="Arial" w:eastAsia="Arial" w:cs="Arial"/>
                <w:color w:val="000000" w:themeColor="text1" w:themeTint="FF" w:themeShade="FF"/>
                <w:sz w:val="18"/>
                <w:szCs w:val="18"/>
                <w:lang w:val="de-DE"/>
              </w:rPr>
              <w:t>Empfehlung 5-2 fordert einen Absetzversuch von ICS bei Eosinophile&lt; 100 Zellen/μl und fehlenden asthmatischen Komponenten oder bei Pneumonie unter ICS</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0E661597" w14:textId="5F5B2CE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For patients pretreated with LABA/ICS, the indication for ICS must be checked.</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453D8A60" w14:textId="5C1E53A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check applies specifically to patients already receiving LABA/ICS and should not be placed before all paths.</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52E0148C" w14:textId="1EC1CF9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task 'Review ICS indication' was modelled only in the LABA + ICS path.</w:t>
            </w:r>
          </w:p>
        </w:tc>
      </w:tr>
      <w:tr w:rsidR="7F6EF22F" w:rsidTr="52C55E83" w14:paraId="2C1EE2B3">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470C9EC1" w14:textId="1999DE66">
            <w:pPr>
              <w:bidi w:val="0"/>
              <w:spacing w:line="279" w:lineRule="auto"/>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Seite 62: </w:t>
            </w:r>
            <w:r>
              <w:br/>
            </w:r>
            <w:r w:rsidRPr="52C55E83" w:rsidR="52C55E83">
              <w:rPr>
                <w:rFonts w:ascii="Arial" w:hAnsi="Arial" w:eastAsia="Arial" w:cs="Arial"/>
                <w:color w:val="000000" w:themeColor="text1" w:themeTint="FF" w:themeShade="FF"/>
                <w:sz w:val="18"/>
                <w:szCs w:val="18"/>
                <w:lang w:val="de-DE"/>
              </w:rPr>
              <w:t>„Vorbehandelt mit: … LABA + ICS“ → „Eskalation auf: LAMA + LABA + ICS“.</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77D2F9B5" w14:textId="4C11679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Pretreated with LABA + ICS -&gt; escalation to LAMA + LABA + ICS.</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7C869F5F" w14:textId="342DC55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groups LAMA + LABA and LABA + ICS as pretreatments for the same escalation, but LABA + ICS requires an additional ICS review.</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4EED2717" w14:textId="32B17CF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LABA + ICS path was separated in BPMN so that the specific ICS review remains visible.</w:t>
            </w:r>
          </w:p>
        </w:tc>
      </w:tr>
      <w:tr w:rsidR="7F6EF22F" w:rsidTr="52C55E83" w14:paraId="5045A766">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1F53B6D4" w14:textId="5F744777">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Seite 62:</w:t>
            </w:r>
          </w:p>
          <w:p w:rsidR="52C55E83" w:rsidP="52C55E83" w:rsidRDefault="52C55E83" w14:paraId="1DA36EB3" w14:textId="3D92CF3A">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Algorithmus-Fußnote 3: „Die Gabe von Roflumilast ist bei Patient*innen mit COPD möglich, die trotz Therapie wiederholt exazerbieren, dem ‚chronische Bronchitis‘-Phänotyp zuzuordnen sind und eine FEV1 &lt; 50% haben.“ </w:t>
            </w:r>
          </w:p>
          <w:p w:rsidR="52C55E83" w:rsidP="52C55E83" w:rsidRDefault="52C55E83" w14:paraId="56717FD0" w14:textId="2D54A92F">
            <w:pPr>
              <w:bidi w:val="0"/>
              <w:spacing w:before="0" w:beforeAutospacing="off" w:after="0" w:afterAutospacing="off"/>
              <w:rPr>
                <w:rFonts w:ascii="Arial" w:hAnsi="Arial" w:eastAsia="Arial" w:cs="Arial"/>
                <w:color w:val="000000" w:themeColor="text1" w:themeTint="FF" w:themeShade="FF"/>
                <w:sz w:val="18"/>
                <w:szCs w:val="18"/>
              </w:rPr>
            </w:pPr>
          </w:p>
          <w:p w:rsidR="52C55E83" w:rsidP="52C55E83" w:rsidRDefault="52C55E83" w14:paraId="503943CD" w14:textId="70882833">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Seite 69-70:</w:t>
            </w:r>
          </w:p>
          <w:p w:rsidR="52C55E83" w:rsidP="52C55E83" w:rsidRDefault="52C55E83" w14:paraId="451DE2FF" w14:textId="05ED99A2">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Narrativ: „… Roflumilast als letzte Eskalationsstufe zu einer Triple-Therapie … wenn wegen erhöhter Exazerbationsgefahr weiterhin Handlungsbedarf besteht. In einigen Fällen ist Roflumilast auch statt ICS eine Option als Add-on zu einer LAMA/LABA-Kombination, nämlich, wenn ICS-Kontraindikationen bestehen …“</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2063AE95" w14:textId="5E29668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Roflumilast may be given as an add-on in patients who continue to exacerbate despite therapy, have the chronic bronchitis phenotype, and have FEV1 &lt; 50%.</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5539806A" w14:textId="3D7147C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says 'if applicable, Roflumilast', so it is not a mandatory escalation step.</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727E8E41" w14:textId="75C3BA0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Roflumilast was modelled as the optional gateway 'Roflumilast add-on eligible?' with clear eligibility criteria.</w:t>
            </w:r>
          </w:p>
        </w:tc>
      </w:tr>
      <w:tr w:rsidR="7F6EF22F" w:rsidTr="52C55E83" w14:paraId="093700A1">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783EBD25" w14:textId="5972D811">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62:</w:t>
            </w:r>
            <w:r>
              <w:br/>
            </w:r>
            <w:r w:rsidRPr="52C55E83" w:rsidR="52C55E83">
              <w:rPr>
                <w:rFonts w:ascii="Arial" w:hAnsi="Arial" w:eastAsia="Arial" w:cs="Arial"/>
                <w:color w:val="000000" w:themeColor="text1" w:themeTint="FF" w:themeShade="FF"/>
                <w:sz w:val="18"/>
                <w:szCs w:val="18"/>
                <w:lang w:val="en-US"/>
              </w:rPr>
              <w:t>Algorithmus: „Ggf. Roflumilast (als Add On zu LAMA + LABA oder LAMA + LABA + ICS)“.</w:t>
            </w:r>
          </w:p>
          <w:p w:rsidR="52C55E83" w:rsidP="52C55E83" w:rsidRDefault="52C55E83" w14:paraId="36BB634B" w14:textId="171E000F">
            <w:pPr>
              <w:bidi w:val="0"/>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en-US"/>
              </w:rPr>
              <w:t>Seite 69-70:</w:t>
            </w:r>
            <w:r>
              <w:br/>
            </w:r>
            <w:r w:rsidRPr="52C55E83" w:rsidR="52C55E83">
              <w:rPr>
                <w:rFonts w:ascii="Arial" w:hAnsi="Arial" w:eastAsia="Arial" w:cs="Arial"/>
                <w:color w:val="000000" w:themeColor="text1" w:themeTint="FF" w:themeShade="FF"/>
                <w:sz w:val="18"/>
                <w:szCs w:val="18"/>
                <w:lang w:val="en-US"/>
              </w:rPr>
              <w:t>Narrativ: „… Roflumilast als letzteEskalationsstufe zu einer Triple-Therapie …“ und „… auch statt ICS eineOption als Add-on zu einer LAMA/LABA-Kombination … wenn ICS-Kontraindikationen bestehen …“</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734D69EB" w14:textId="37E933E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Roflumilast may be added to LAMA + LABA or LAMA + LABA + ICS.</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7F5788E9" w14:textId="3211826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Roflumilast can connect to two different treatment targets.</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029E3801" w14:textId="4088D9C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 shared task 'Add Roflumilast to LAMA + LABA or LAMA + LABA + ICS' was placed after the paths converge instead of creating two separate add-on tasks.</w:t>
            </w:r>
          </w:p>
        </w:tc>
      </w:tr>
      <w:tr w:rsidR="7F6EF22F" w:rsidTr="52C55E83" w14:paraId="033B7526">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5D71E228" w14:textId="7B602C20">
            <w:pPr>
              <w:bidi w:val="0"/>
              <w:spacing w:line="279" w:lineRule="auto"/>
              <w:jc w:val="left"/>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Seite 62: </w:t>
            </w:r>
            <w:r>
              <w:br/>
            </w:r>
            <w:r w:rsidRPr="52C55E83" w:rsidR="52C55E83">
              <w:rPr>
                <w:rFonts w:ascii="Arial" w:hAnsi="Arial" w:eastAsia="Arial" w:cs="Arial"/>
                <w:color w:val="000000" w:themeColor="text1" w:themeTint="FF" w:themeShade="FF"/>
                <w:sz w:val="18"/>
                <w:szCs w:val="18"/>
                <w:lang w:val="de-DE"/>
              </w:rPr>
              <w:t>Roflumilast ist als Add-on zu LAMA + LABA oder LAMA + LABA + ICS vorgesehen.</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307A0F42" w14:textId="20D01C5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Roflumilast is shown as an add-on option.</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0DA9872D" w14:textId="4D5051A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Adding Roflumilast changes the medication plan beyond selecting inhaled therapy.</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07922BC5" w14:textId="6A5E88F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path ends with 'Exacerbation-focused medication plan adjusted'.</w:t>
            </w:r>
          </w:p>
        </w:tc>
      </w:tr>
      <w:tr w:rsidR="7F6EF22F" w:rsidTr="52C55E83" w14:paraId="2A816086">
        <w:trPr>
          <w:trHeight w:val="300"/>
        </w:trPr>
        <w:tc>
          <w:tcPr>
            <w:tcW w:w="2985" w:type="dxa"/>
            <w:tcBorders>
              <w:top w:val="single" w:sz="8"/>
              <w:left w:val="single" w:sz="8"/>
              <w:bottom w:val="single" w:sz="8"/>
              <w:right w:val="single" w:sz="8"/>
            </w:tcBorders>
            <w:tcMar>
              <w:left w:w="108" w:type="dxa"/>
              <w:right w:w="108" w:type="dxa"/>
            </w:tcMar>
            <w:vAlign w:val="top"/>
          </w:tcPr>
          <w:p w:rsidR="52C55E83" w:rsidP="52C55E83" w:rsidRDefault="52C55E83" w14:paraId="5763EE07" w14:textId="576C5A73">
            <w:pPr>
              <w:bidi w:val="0"/>
              <w:spacing w:before="0" w:beforeAutospacing="off" w:after="0" w:afterAutospacing="off"/>
              <w:rPr>
                <w:rFonts w:ascii="Arial" w:hAnsi="Arial" w:eastAsia="Arial" w:cs="Arial"/>
                <w:color w:val="000000" w:themeColor="text1" w:themeTint="FF" w:themeShade="FF"/>
                <w:sz w:val="18"/>
                <w:szCs w:val="18"/>
              </w:rPr>
            </w:pPr>
            <w:r w:rsidRPr="52C55E83" w:rsidR="52C55E83">
              <w:rPr>
                <w:rFonts w:ascii="Arial" w:hAnsi="Arial" w:eastAsia="Arial" w:cs="Arial"/>
                <w:color w:val="000000" w:themeColor="text1" w:themeTint="FF" w:themeShade="FF"/>
                <w:sz w:val="18"/>
                <w:szCs w:val="18"/>
                <w:lang w:val="de-DE"/>
              </w:rPr>
              <w:t xml:space="preserve">Seite 62: </w:t>
            </w:r>
            <w:r>
              <w:br/>
            </w:r>
            <w:r w:rsidRPr="52C55E83" w:rsidR="52C55E83">
              <w:rPr>
                <w:rFonts w:ascii="Arial" w:hAnsi="Arial" w:eastAsia="Arial" w:cs="Arial"/>
                <w:color w:val="000000" w:themeColor="text1" w:themeTint="FF" w:themeShade="FF"/>
                <w:sz w:val="18"/>
                <w:szCs w:val="18"/>
                <w:lang w:val="de-DE"/>
              </w:rPr>
              <w:t>Der Algorithmus endet je nach Pfad in LAMA + LABA, LAMA + LABA + ICS oder optional Ggf. Roflumilast.</w:t>
            </w:r>
          </w:p>
        </w:tc>
        <w:tc>
          <w:tcPr>
            <w:tcW w:w="1995" w:type="dxa"/>
            <w:tcBorders>
              <w:top w:val="single" w:sz="8"/>
              <w:left w:val="single" w:sz="8"/>
              <w:bottom w:val="single" w:sz="8"/>
              <w:right w:val="single" w:sz="8"/>
            </w:tcBorders>
            <w:tcMar>
              <w:left w:w="108" w:type="dxa"/>
              <w:right w:w="108" w:type="dxa"/>
            </w:tcMar>
            <w:vAlign w:val="top"/>
          </w:tcPr>
          <w:p w:rsidR="7F6EF22F" w:rsidP="51862C77" w:rsidRDefault="7F6EF22F" w14:paraId="59BEF9C9" w14:textId="5391C84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algorithm ends depending on the path in LAMA + LABA, LAMA + LABA + ICS, or optional Roflumilast.</w:t>
            </w:r>
          </w:p>
        </w:tc>
        <w:tc>
          <w:tcPr>
            <w:tcW w:w="1269" w:type="dxa"/>
            <w:tcBorders>
              <w:top w:val="single" w:sz="8"/>
              <w:left w:val="single" w:sz="8"/>
              <w:bottom w:val="single" w:sz="8"/>
              <w:right w:val="single" w:sz="8"/>
            </w:tcBorders>
            <w:tcMar>
              <w:left w:w="108" w:type="dxa"/>
              <w:right w:w="108" w:type="dxa"/>
            </w:tcMar>
            <w:vAlign w:val="top"/>
          </w:tcPr>
          <w:p w:rsidR="7F6EF22F" w:rsidP="51862C77" w:rsidRDefault="7F6EF22F" w14:paraId="65F5D63D" w14:textId="4C405ED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Without Roflumilast, the treatment plan remains the selected or escalated inhaled therapy.</w:t>
            </w:r>
          </w:p>
        </w:tc>
        <w:tc>
          <w:tcPr>
            <w:tcW w:w="2766" w:type="dxa"/>
            <w:tcBorders>
              <w:top w:val="single" w:sz="8"/>
              <w:left w:val="single" w:sz="8"/>
              <w:bottom w:val="single" w:sz="8"/>
              <w:right w:val="single" w:sz="8"/>
            </w:tcBorders>
            <w:tcMar>
              <w:left w:w="108" w:type="dxa"/>
              <w:right w:w="108" w:type="dxa"/>
            </w:tcMar>
            <w:vAlign w:val="top"/>
          </w:tcPr>
          <w:p w:rsidR="7F6EF22F" w:rsidP="51862C77" w:rsidRDefault="7F6EF22F" w14:paraId="4752AD7F" w14:textId="3357B7F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path ends with 'Exacerbation-focused medication plan selected' rather than 'adjusted'.</w:t>
            </w:r>
          </w:p>
        </w:tc>
      </w:tr>
    </w:tbl>
    <w:p w:rsidR="7F6EF22F" w:rsidP="51862C77" w:rsidRDefault="7F6EF22F" w14:paraId="3DF9162B" w14:textId="3A3CFF50">
      <w:pPr>
        <w:pStyle w:val="Normal"/>
        <w:spacing w:line="240" w:lineRule="auto"/>
        <w:rPr>
          <w:rFonts w:ascii="Arial" w:hAnsi="Arial" w:eastAsia="Arial" w:cs="Arial"/>
          <w:b w:val="1"/>
          <w:bCs w:val="1"/>
          <w:color w:val="000000" w:themeColor="text1" w:themeTint="FF" w:themeShade="FF"/>
        </w:rPr>
      </w:pPr>
    </w:p>
    <w:p w:rsidR="6A9BD196" w:rsidP="51862C77" w:rsidRDefault="6A9BD196" w14:paraId="1598B039" w14:textId="19DE8304">
      <w:pPr>
        <w:pStyle w:val="Normal"/>
        <w:spacing w:line="240" w:lineRule="auto"/>
        <w:rPr>
          <w:rFonts w:ascii="Arial" w:hAnsi="Arial" w:eastAsia="Arial" w:cs="Arial"/>
          <w:b w:val="1"/>
          <w:bCs w:val="1"/>
          <w:color w:val="000000" w:themeColor="text1" w:themeTint="FF" w:themeShade="FF"/>
          <w:sz w:val="20"/>
          <w:szCs w:val="20"/>
          <w:lang w:val="en-US"/>
        </w:rPr>
      </w:pPr>
      <w:r w:rsidRPr="51862C77" w:rsidR="654ACEE4">
        <w:rPr>
          <w:rFonts w:ascii="Arial" w:hAnsi="Arial" w:eastAsia="Arial" w:cs="Arial"/>
          <w:b w:val="1"/>
          <w:bCs w:val="1"/>
          <w:color w:val="000000" w:themeColor="text1" w:themeTint="FF" w:themeShade="FF"/>
          <w:sz w:val="20"/>
          <w:szCs w:val="20"/>
          <w:lang w:val="en-US"/>
        </w:rPr>
        <w:t xml:space="preserve">Table S2c-2. DMN decision table for adherence and inhalation </w:t>
      </w:r>
      <w:r w:rsidRPr="51862C77" w:rsidR="654ACEE4">
        <w:rPr>
          <w:rFonts w:ascii="Arial" w:hAnsi="Arial" w:eastAsia="Arial" w:cs="Arial"/>
          <w:b w:val="1"/>
          <w:bCs w:val="1"/>
          <w:color w:val="000000" w:themeColor="text1" w:themeTint="FF" w:themeShade="FF"/>
          <w:sz w:val="20"/>
          <w:szCs w:val="20"/>
          <w:lang w:val="en-US"/>
        </w:rPr>
        <w:t>technique</w:t>
      </w:r>
      <w:r w:rsidRPr="51862C77" w:rsidR="654ACEE4">
        <w:rPr>
          <w:rFonts w:ascii="Arial" w:hAnsi="Arial" w:eastAsia="Arial" w:cs="Arial"/>
          <w:b w:val="1"/>
          <w:bCs w:val="1"/>
          <w:color w:val="000000" w:themeColor="text1" w:themeTint="FF" w:themeShade="FF"/>
          <w:sz w:val="20"/>
          <w:szCs w:val="20"/>
          <w:lang w:val="en-US"/>
        </w:rPr>
        <w:t xml:space="preserve"> before escalation.</w:t>
      </w:r>
    </w:p>
    <w:tbl>
      <w:tblPr>
        <w:tblStyle w:val="TableGrid"/>
        <w:bidiVisual w:val="0"/>
        <w:tblW w:w="0" w:type="auto"/>
        <w:tblLook w:val="06A0" w:firstRow="1" w:lastRow="0" w:firstColumn="1" w:lastColumn="0" w:noHBand="1" w:noVBand="1"/>
      </w:tblPr>
      <w:tblGrid>
        <w:gridCol w:w="1020"/>
        <w:gridCol w:w="1922"/>
        <w:gridCol w:w="2003"/>
        <w:gridCol w:w="2066"/>
        <w:gridCol w:w="2003"/>
      </w:tblGrid>
      <w:tr w:rsidR="7F6EF22F" w:rsidTr="51862C77" w14:paraId="3E2A971F">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4BD4DE0A" w14:textId="1E50FFD4">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DMN element</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44C7D56C" w14:textId="5958C1B4">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Variable / condition</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108EBCEA" w14:textId="18A89345">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Output</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4333837E" w14:textId="16C39037">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Evidence from NVL COPD</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04B88F2B" w14:textId="6B0A6318">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BPMN reference</w:t>
            </w:r>
          </w:p>
        </w:tc>
      </w:tr>
      <w:tr w:rsidR="7F6EF22F" w:rsidTr="51862C77" w14:paraId="57A84894">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246651B3" w14:textId="24848C3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07270E38" w14:textId="30D973B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goodAdherence = true/false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56D9DB62" w14:textId="4A3404A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06394992" w14:textId="0083460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Treatment adherence must be checked before escalation.</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415D5327" w14:textId="0BD9A45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input is evaluated through the BPMN task 'Check adherence and inhalation technique'.</w:t>
            </w:r>
          </w:p>
        </w:tc>
      </w:tr>
      <w:tr w:rsidR="7F6EF22F" w:rsidTr="51862C77" w14:paraId="4A14DAEA">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193640E3" w14:textId="73577A2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79AC30C2" w14:textId="2C6446B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correctInhalationTechnique = true/false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3B54DA18" w14:textId="761F549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6052D7FA" w14:textId="6433666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Incorrect use of inhalation systems must be excluded before dose or step escalation.</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0512AFFD" w14:textId="650A2F9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input is evaluated through the same BPMN task.</w:t>
            </w:r>
          </w:p>
        </w:tc>
      </w:tr>
      <w:tr w:rsidR="7F6EF22F" w:rsidTr="51862C77" w14:paraId="2B9F37E7">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1E5F7DE3" w14:textId="6F168E3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Output</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0169DA24" w14:textId="664D6C8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escalationAllowed</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32A8CFA3" w14:textId="2419DF2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true/false</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5E3FF483" w14:textId="42AD845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controls whether medication adjustment can continue.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371AEECC" w14:textId="6782D16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output feeds the process gateway after the check.</w:t>
            </w:r>
          </w:p>
        </w:tc>
      </w:tr>
      <w:tr w:rsidR="7F6EF22F" w:rsidTr="51862C77" w14:paraId="44AA44FE">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674212FD" w14:textId="5C51400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Output</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196D2220" w14:textId="22CC34E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adherenceAction</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517C4B25" w14:textId="08020FA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Required action</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73AB5B85" w14:textId="420CC54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gives the concrete action when training or counselling is required.</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216845E7" w14:textId="1FFD9B0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output can route to a follow-up user task.</w:t>
            </w:r>
          </w:p>
        </w:tc>
      </w:tr>
      <w:tr w:rsidR="7F6EF22F" w:rsidTr="51862C77" w14:paraId="4BEF8A95">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29007448" w14:textId="75AD374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Rule_Adh_1</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7E3C4C4A" w14:textId="71A763F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goodAdherence = true AND correctInhalationTechnique = true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137CD4F6" w14:textId="012AA3B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escalationAllowed = true; adherenceAction = 'Proceed to pretreatment evaluation'</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50D22EA7" w14:textId="3A173BE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Adherence and technique are adequate.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4BC04119" w14:textId="705A534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Medication pretreatment can be evaluated.</w:t>
            </w:r>
          </w:p>
        </w:tc>
      </w:tr>
      <w:tr w:rsidR="7F6EF22F" w:rsidTr="51862C77" w14:paraId="09200CD6">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4B4D9E92" w14:textId="2EEF60B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Rule_Adh_2</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78EAE9CD" w14:textId="4ABABDF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correctInhalationTechnique = false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45CB06FD" w14:textId="38CCCFE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escalationAllowed = false; adherenceAction = 'Train inhalation technique and re-evaluate later'</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51E9752F" w14:textId="6272D9A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Inhalation errors take priority over medication change.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66DA009F" w14:textId="1C58622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BPMN should route to training and later re-evaluation.</w:t>
            </w:r>
          </w:p>
        </w:tc>
      </w:tr>
      <w:tr w:rsidR="7F6EF22F" w:rsidTr="51862C77" w14:paraId="60501DB7">
        <w:trPr>
          <w:trHeight w:val="300"/>
        </w:trPr>
        <w:tc>
          <w:tcPr>
            <w:tcW w:w="1020" w:type="dxa"/>
            <w:tcBorders>
              <w:top w:val="single" w:sz="8"/>
              <w:left w:val="single" w:sz="8"/>
              <w:bottom w:val="single" w:sz="8"/>
              <w:right w:val="single" w:sz="8"/>
            </w:tcBorders>
            <w:tcMar>
              <w:left w:w="108" w:type="dxa"/>
              <w:right w:w="108" w:type="dxa"/>
            </w:tcMar>
            <w:vAlign w:val="top"/>
          </w:tcPr>
          <w:p w:rsidR="7F6EF22F" w:rsidP="51862C77" w:rsidRDefault="7F6EF22F" w14:paraId="1596C7A1" w14:textId="20CC4FC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Rule_Adh_3</w:t>
            </w:r>
          </w:p>
        </w:tc>
        <w:tc>
          <w:tcPr>
            <w:tcW w:w="1922" w:type="dxa"/>
            <w:tcBorders>
              <w:top w:val="single" w:sz="8"/>
              <w:left w:val="single" w:sz="8"/>
              <w:bottom w:val="single" w:sz="8"/>
              <w:right w:val="single" w:sz="8"/>
            </w:tcBorders>
            <w:tcMar>
              <w:left w:w="108" w:type="dxa"/>
              <w:right w:w="108" w:type="dxa"/>
            </w:tcMar>
            <w:vAlign w:val="top"/>
          </w:tcPr>
          <w:p w:rsidR="7F6EF22F" w:rsidP="51862C77" w:rsidRDefault="7F6EF22F" w14:paraId="4E5BA8EA" w14:textId="4FC5984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goodAdherence = false AND correctInhalationTechnique = true</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43011F43" w14:textId="63F0FED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escalationAllowed = false; adherenceAction = 'Counsel patient on adherence and re-evaluate later'</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62506D46" w14:textId="61CE1EF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Adherence counselling is required before escalation.</w:t>
            </w:r>
          </w:p>
        </w:tc>
        <w:tc>
          <w:tcPr>
            <w:tcW w:w="2003" w:type="dxa"/>
            <w:tcBorders>
              <w:top w:val="single" w:sz="8"/>
              <w:left w:val="single" w:sz="8"/>
              <w:bottom w:val="single" w:sz="8"/>
              <w:right w:val="single" w:sz="8"/>
            </w:tcBorders>
            <w:tcMar>
              <w:left w:w="108" w:type="dxa"/>
              <w:right w:w="108" w:type="dxa"/>
            </w:tcMar>
            <w:vAlign w:val="top"/>
          </w:tcPr>
          <w:p w:rsidR="7F6EF22F" w:rsidP="51862C77" w:rsidRDefault="7F6EF22F" w14:paraId="6561E7AE" w14:textId="45CD4F3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BPMN should route to counselling and later re-evaluation.</w:t>
            </w:r>
          </w:p>
        </w:tc>
      </w:tr>
    </w:tbl>
    <w:p w:rsidR="7F6EF22F" w:rsidP="51862C77" w:rsidRDefault="7F6EF22F" w14:paraId="390BC38B" w14:textId="3CF198C3">
      <w:pPr>
        <w:pStyle w:val="Normal"/>
        <w:spacing w:line="240" w:lineRule="auto"/>
        <w:rPr>
          <w:rFonts w:ascii="Arial" w:hAnsi="Arial" w:eastAsia="Arial" w:cs="Arial"/>
          <w:b w:val="1"/>
          <w:bCs w:val="1"/>
          <w:color w:val="000000" w:themeColor="text1" w:themeTint="FF" w:themeShade="FF"/>
        </w:rPr>
      </w:pPr>
    </w:p>
    <w:p w:rsidR="18E1638D" w:rsidP="51862C77" w:rsidRDefault="18E1638D" w14:paraId="55EDC5B6" w14:textId="2905EB3E">
      <w:pPr>
        <w:pStyle w:val="Normal"/>
        <w:spacing w:line="240" w:lineRule="auto"/>
        <w:rPr>
          <w:rFonts w:ascii="Arial" w:hAnsi="Arial" w:eastAsia="Arial" w:cs="Arial"/>
          <w:b w:val="1"/>
          <w:bCs w:val="1"/>
          <w:color w:val="000000" w:themeColor="text1" w:themeTint="FF" w:themeShade="FF"/>
          <w:sz w:val="20"/>
          <w:szCs w:val="20"/>
          <w:lang w:val="en-US"/>
        </w:rPr>
      </w:pPr>
      <w:r w:rsidRPr="51862C77" w:rsidR="62A7846D">
        <w:rPr>
          <w:rFonts w:ascii="Arial" w:hAnsi="Arial" w:eastAsia="Arial" w:cs="Arial"/>
          <w:b w:val="1"/>
          <w:bCs w:val="1"/>
          <w:color w:val="000000" w:themeColor="text1" w:themeTint="FF" w:themeShade="FF"/>
          <w:sz w:val="20"/>
          <w:szCs w:val="20"/>
          <w:lang w:val="en-US"/>
        </w:rPr>
        <w:t xml:space="preserve">Table S2c-3. DMN decision table for ICS </w:t>
      </w:r>
      <w:r w:rsidRPr="51862C77" w:rsidR="62A7846D">
        <w:rPr>
          <w:rFonts w:ascii="Arial" w:hAnsi="Arial" w:eastAsia="Arial" w:cs="Arial"/>
          <w:b w:val="1"/>
          <w:bCs w:val="1"/>
          <w:color w:val="000000" w:themeColor="text1" w:themeTint="FF" w:themeShade="FF"/>
          <w:sz w:val="20"/>
          <w:szCs w:val="20"/>
          <w:lang w:val="en-US"/>
        </w:rPr>
        <w:t>indication</w:t>
      </w:r>
      <w:r w:rsidRPr="51862C77" w:rsidR="62A7846D">
        <w:rPr>
          <w:rFonts w:ascii="Arial" w:hAnsi="Arial" w:eastAsia="Arial" w:cs="Arial"/>
          <w:b w:val="1"/>
          <w:bCs w:val="1"/>
          <w:color w:val="000000" w:themeColor="text1" w:themeTint="FF" w:themeShade="FF"/>
          <w:sz w:val="20"/>
          <w:szCs w:val="20"/>
          <w:lang w:val="en-US"/>
        </w:rPr>
        <w:t xml:space="preserve"> before triple therapy.</w:t>
      </w:r>
    </w:p>
    <w:tbl>
      <w:tblPr>
        <w:tblStyle w:val="TableGrid"/>
        <w:bidiVisual w:val="0"/>
        <w:tblW w:w="0" w:type="auto"/>
        <w:tblLook w:val="06A0" w:firstRow="1" w:lastRow="0" w:firstColumn="1" w:lastColumn="0" w:noHBand="1" w:noVBand="1"/>
      </w:tblPr>
      <w:tblGrid>
        <w:gridCol w:w="1035"/>
        <w:gridCol w:w="1991"/>
        <w:gridCol w:w="1545"/>
        <w:gridCol w:w="2383"/>
        <w:gridCol w:w="2061"/>
      </w:tblGrid>
      <w:tr w:rsidR="7F6EF22F" w:rsidTr="51862C77" w14:paraId="16936DC9">
        <w:trPr>
          <w:trHeight w:val="300"/>
        </w:trPr>
        <w:tc>
          <w:tcPr>
            <w:tcW w:w="1035" w:type="dxa"/>
            <w:tcBorders>
              <w:top w:val="single" w:sz="8"/>
              <w:left w:val="single" w:sz="8"/>
              <w:bottom w:val="single" w:sz="8"/>
              <w:right w:val="single" w:sz="8"/>
            </w:tcBorders>
            <w:tcMar>
              <w:left w:w="108" w:type="dxa"/>
              <w:right w:w="108" w:type="dxa"/>
            </w:tcMar>
            <w:vAlign w:val="top"/>
          </w:tcPr>
          <w:p w:rsidR="7F6EF22F" w:rsidP="51862C77" w:rsidRDefault="7F6EF22F" w14:paraId="41830A19" w14:textId="43A28CBD">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DMN element</w:t>
            </w:r>
          </w:p>
        </w:tc>
        <w:tc>
          <w:tcPr>
            <w:tcW w:w="1991" w:type="dxa"/>
            <w:tcBorders>
              <w:top w:val="single" w:sz="8"/>
              <w:left w:val="single" w:sz="8"/>
              <w:bottom w:val="single" w:sz="8"/>
              <w:right w:val="single" w:sz="8"/>
            </w:tcBorders>
            <w:tcMar>
              <w:left w:w="108" w:type="dxa"/>
              <w:right w:w="108" w:type="dxa"/>
            </w:tcMar>
            <w:vAlign w:val="top"/>
          </w:tcPr>
          <w:p w:rsidR="7F6EF22F" w:rsidP="51862C77" w:rsidRDefault="7F6EF22F" w14:paraId="0AD7CE38" w14:textId="5B216C03">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Variable / condition</w:t>
            </w:r>
          </w:p>
        </w:tc>
        <w:tc>
          <w:tcPr>
            <w:tcW w:w="1545" w:type="dxa"/>
            <w:tcBorders>
              <w:top w:val="single" w:sz="8"/>
              <w:left w:val="single" w:sz="8"/>
              <w:bottom w:val="single" w:sz="8"/>
              <w:right w:val="single" w:sz="8"/>
            </w:tcBorders>
            <w:tcMar>
              <w:left w:w="108" w:type="dxa"/>
              <w:right w:w="108" w:type="dxa"/>
            </w:tcMar>
            <w:vAlign w:val="top"/>
          </w:tcPr>
          <w:p w:rsidR="7F6EF22F" w:rsidP="51862C77" w:rsidRDefault="7F6EF22F" w14:paraId="7C889982" w14:textId="5B172DF9">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Output</w:t>
            </w:r>
          </w:p>
        </w:tc>
        <w:tc>
          <w:tcPr>
            <w:tcW w:w="2383" w:type="dxa"/>
            <w:tcBorders>
              <w:top w:val="single" w:sz="8"/>
              <w:left w:val="single" w:sz="8"/>
              <w:bottom w:val="single" w:sz="8"/>
              <w:right w:val="single" w:sz="8"/>
            </w:tcBorders>
            <w:tcMar>
              <w:left w:w="108" w:type="dxa"/>
              <w:right w:w="108" w:type="dxa"/>
            </w:tcMar>
            <w:vAlign w:val="top"/>
          </w:tcPr>
          <w:p w:rsidR="7F6EF22F" w:rsidP="51862C77" w:rsidRDefault="7F6EF22F" w14:paraId="5F52A555" w14:textId="6FDC9F91">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Evidence from NVL COPD</w:t>
            </w:r>
          </w:p>
        </w:tc>
        <w:tc>
          <w:tcPr>
            <w:tcW w:w="2061" w:type="dxa"/>
            <w:tcBorders>
              <w:top w:val="single" w:sz="8"/>
              <w:left w:val="single" w:sz="8"/>
              <w:bottom w:val="single" w:sz="8"/>
              <w:right w:val="single" w:sz="8"/>
            </w:tcBorders>
            <w:tcMar>
              <w:left w:w="108" w:type="dxa"/>
              <w:right w:w="108" w:type="dxa"/>
            </w:tcMar>
            <w:vAlign w:val="top"/>
          </w:tcPr>
          <w:p w:rsidR="7F6EF22F" w:rsidP="51862C77" w:rsidRDefault="7F6EF22F" w14:paraId="7326D070" w14:textId="5DE6BE24">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BPMN reference</w:t>
            </w:r>
          </w:p>
        </w:tc>
      </w:tr>
      <w:tr w:rsidR="7F6EF22F" w:rsidTr="51862C77" w14:paraId="487D793E">
        <w:trPr>
          <w:trHeight w:val="300"/>
        </w:trPr>
        <w:tc>
          <w:tcPr>
            <w:tcW w:w="1035" w:type="dxa"/>
            <w:tcBorders>
              <w:top w:val="single" w:sz="8"/>
              <w:left w:val="single" w:sz="8"/>
              <w:bottom w:val="single" w:sz="8"/>
              <w:right w:val="single" w:sz="8"/>
            </w:tcBorders>
            <w:tcMar>
              <w:left w:w="108" w:type="dxa"/>
              <w:right w:w="108" w:type="dxa"/>
            </w:tcMar>
            <w:vAlign w:val="top"/>
          </w:tcPr>
          <w:p w:rsidR="7F6EF22F" w:rsidP="51862C77" w:rsidRDefault="7F6EF22F" w14:paraId="5CD1BE78" w14:textId="1D0E933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991" w:type="dxa"/>
            <w:tcBorders>
              <w:top w:val="single" w:sz="8"/>
              <w:left w:val="single" w:sz="8"/>
              <w:bottom w:val="single" w:sz="8"/>
              <w:right w:val="single" w:sz="8"/>
            </w:tcBorders>
            <w:tcMar>
              <w:left w:w="108" w:type="dxa"/>
              <w:right w:w="108" w:type="dxa"/>
            </w:tcMar>
            <w:vAlign w:val="top"/>
          </w:tcPr>
          <w:p w:rsidR="7F6EF22F" w:rsidP="51862C77" w:rsidRDefault="7F6EF22F" w14:paraId="45FA958E" w14:textId="0A3D273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w:t>
            </w:r>
          </w:p>
        </w:tc>
        <w:tc>
          <w:tcPr>
            <w:tcW w:w="1545" w:type="dxa"/>
            <w:tcBorders>
              <w:top w:val="single" w:sz="8"/>
              <w:left w:val="single" w:sz="8"/>
              <w:bottom w:val="single" w:sz="8"/>
              <w:right w:val="single" w:sz="8"/>
            </w:tcBorders>
            <w:tcMar>
              <w:left w:w="108" w:type="dxa"/>
              <w:right w:w="108" w:type="dxa"/>
            </w:tcMar>
            <w:vAlign w:val="top"/>
          </w:tcPr>
          <w:p w:rsidR="7F6EF22F" w:rsidP="51862C77" w:rsidRDefault="7F6EF22F" w14:paraId="6F8D3B73" w14:textId="028D4FF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t>
            </w:r>
          </w:p>
        </w:tc>
        <w:tc>
          <w:tcPr>
            <w:tcW w:w="2383" w:type="dxa"/>
            <w:tcBorders>
              <w:top w:val="single" w:sz="8"/>
              <w:left w:val="single" w:sz="8"/>
              <w:bottom w:val="single" w:sz="8"/>
              <w:right w:val="single" w:sz="8"/>
            </w:tcBorders>
            <w:tcMar>
              <w:left w:w="108" w:type="dxa"/>
              <w:right w:w="108" w:type="dxa"/>
            </w:tcMar>
            <w:vAlign w:val="top"/>
          </w:tcPr>
          <w:p w:rsidR="7F6EF22F" w:rsidP="51862C77" w:rsidRDefault="7F6EF22F" w14:paraId="3F7CD95D" w14:textId="4559EDF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Blood eosinophil counts guide the indication for ICS use in patients with exacerbations.</w:t>
            </w:r>
          </w:p>
        </w:tc>
        <w:tc>
          <w:tcPr>
            <w:tcW w:w="2061" w:type="dxa"/>
            <w:tcBorders>
              <w:top w:val="single" w:sz="8"/>
              <w:left w:val="single" w:sz="8"/>
              <w:bottom w:val="single" w:sz="8"/>
              <w:right w:val="single" w:sz="8"/>
            </w:tcBorders>
            <w:tcMar>
              <w:left w:w="108" w:type="dxa"/>
              <w:right w:w="108" w:type="dxa"/>
            </w:tcMar>
            <w:vAlign w:val="top"/>
          </w:tcPr>
          <w:p w:rsidR="7F6EF22F" w:rsidP="51862C77" w:rsidRDefault="7F6EF22F" w14:paraId="1BA01560" w14:textId="5A79202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value is evaluated in the business rule task 'Check ICS indication before triple therapy'.</w:t>
            </w:r>
          </w:p>
        </w:tc>
      </w:tr>
      <w:tr w:rsidR="7F6EF22F" w:rsidTr="51862C77" w14:paraId="5F3537C1">
        <w:trPr>
          <w:trHeight w:val="300"/>
        </w:trPr>
        <w:tc>
          <w:tcPr>
            <w:tcW w:w="1035" w:type="dxa"/>
            <w:tcBorders>
              <w:top w:val="single" w:sz="8"/>
              <w:left w:val="single" w:sz="8"/>
              <w:bottom w:val="single" w:sz="8"/>
              <w:right w:val="single" w:sz="8"/>
            </w:tcBorders>
            <w:tcMar>
              <w:left w:w="108" w:type="dxa"/>
              <w:right w:w="108" w:type="dxa"/>
            </w:tcMar>
            <w:vAlign w:val="top"/>
          </w:tcPr>
          <w:p w:rsidR="7F6EF22F" w:rsidP="51862C77" w:rsidRDefault="7F6EF22F" w14:paraId="5857D7FA" w14:textId="2E74364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991" w:type="dxa"/>
            <w:tcBorders>
              <w:top w:val="single" w:sz="8"/>
              <w:left w:val="single" w:sz="8"/>
              <w:bottom w:val="single" w:sz="8"/>
              <w:right w:val="single" w:sz="8"/>
            </w:tcBorders>
            <w:tcMar>
              <w:left w:w="108" w:type="dxa"/>
              <w:right w:w="108" w:type="dxa"/>
            </w:tcMar>
            <w:vAlign w:val="top"/>
          </w:tcPr>
          <w:p w:rsidR="7F6EF22F" w:rsidP="51862C77" w:rsidRDefault="7F6EF22F" w14:paraId="3496F5AE" w14:textId="2A6F29B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asthmaComponent = true/false</w:t>
            </w:r>
          </w:p>
        </w:tc>
        <w:tc>
          <w:tcPr>
            <w:tcW w:w="1545" w:type="dxa"/>
            <w:tcBorders>
              <w:top w:val="single" w:sz="8"/>
              <w:left w:val="single" w:sz="8"/>
              <w:bottom w:val="single" w:sz="8"/>
              <w:right w:val="single" w:sz="8"/>
            </w:tcBorders>
            <w:tcMar>
              <w:left w:w="108" w:type="dxa"/>
              <w:right w:w="108" w:type="dxa"/>
            </w:tcMar>
            <w:vAlign w:val="top"/>
          </w:tcPr>
          <w:p w:rsidR="7F6EF22F" w:rsidP="51862C77" w:rsidRDefault="7F6EF22F" w14:paraId="4719A997" w14:textId="4F29BB3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t>
            </w:r>
          </w:p>
        </w:tc>
        <w:tc>
          <w:tcPr>
            <w:tcW w:w="2383" w:type="dxa"/>
            <w:tcBorders>
              <w:top w:val="single" w:sz="8"/>
              <w:left w:val="single" w:sz="8"/>
              <w:bottom w:val="single" w:sz="8"/>
              <w:right w:val="single" w:sz="8"/>
            </w:tcBorders>
            <w:tcMar>
              <w:left w:w="108" w:type="dxa"/>
              <w:right w:w="108" w:type="dxa"/>
            </w:tcMar>
            <w:vAlign w:val="top"/>
          </w:tcPr>
          <w:p w:rsidR="7F6EF22F" w:rsidP="51862C77" w:rsidRDefault="7F6EF22F" w14:paraId="5925163A" w14:textId="70A0045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An asthma component supports ICS indication.</w:t>
            </w:r>
          </w:p>
        </w:tc>
        <w:tc>
          <w:tcPr>
            <w:tcW w:w="2061" w:type="dxa"/>
            <w:tcBorders>
              <w:top w:val="single" w:sz="8"/>
              <w:left w:val="single" w:sz="8"/>
              <w:bottom w:val="single" w:sz="8"/>
              <w:right w:val="single" w:sz="8"/>
            </w:tcBorders>
            <w:tcMar>
              <w:left w:w="108" w:type="dxa"/>
              <w:right w:w="108" w:type="dxa"/>
            </w:tcMar>
            <w:vAlign w:val="top"/>
          </w:tcPr>
          <w:p w:rsidR="7F6EF22F" w:rsidP="51862C77" w:rsidRDefault="7F6EF22F" w14:paraId="124FBFA3" w14:textId="45C156A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may be provided by a previous diagnostic task or gateway.</w:t>
            </w:r>
          </w:p>
        </w:tc>
      </w:tr>
      <w:tr w:rsidR="7F6EF22F" w:rsidTr="51862C77" w14:paraId="7435C68D">
        <w:trPr>
          <w:trHeight w:val="300"/>
        </w:trPr>
        <w:tc>
          <w:tcPr>
            <w:tcW w:w="1035" w:type="dxa"/>
            <w:tcBorders>
              <w:top w:val="single" w:sz="8"/>
              <w:left w:val="single" w:sz="8"/>
              <w:bottom w:val="single" w:sz="8"/>
              <w:right w:val="single" w:sz="8"/>
            </w:tcBorders>
            <w:tcMar>
              <w:left w:w="108" w:type="dxa"/>
              <w:right w:w="108" w:type="dxa"/>
            </w:tcMar>
            <w:vAlign w:val="top"/>
          </w:tcPr>
          <w:p w:rsidR="7F6EF22F" w:rsidP="51862C77" w:rsidRDefault="7F6EF22F" w14:paraId="01ED0AAC" w14:textId="68C1788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Output</w:t>
            </w:r>
          </w:p>
        </w:tc>
        <w:tc>
          <w:tcPr>
            <w:tcW w:w="1991" w:type="dxa"/>
            <w:tcBorders>
              <w:top w:val="single" w:sz="8"/>
              <w:left w:val="single" w:sz="8"/>
              <w:bottom w:val="single" w:sz="8"/>
              <w:right w:val="single" w:sz="8"/>
            </w:tcBorders>
            <w:tcMar>
              <w:left w:w="108" w:type="dxa"/>
              <w:right w:w="108" w:type="dxa"/>
            </w:tcMar>
            <w:vAlign w:val="top"/>
          </w:tcPr>
          <w:p w:rsidR="7F6EF22F" w:rsidP="51862C77" w:rsidRDefault="7F6EF22F" w14:paraId="519C28F0" w14:textId="1EEC8EA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icsIndicated</w:t>
            </w:r>
          </w:p>
        </w:tc>
        <w:tc>
          <w:tcPr>
            <w:tcW w:w="1545" w:type="dxa"/>
            <w:tcBorders>
              <w:top w:val="single" w:sz="8"/>
              <w:left w:val="single" w:sz="8"/>
              <w:bottom w:val="single" w:sz="8"/>
              <w:right w:val="single" w:sz="8"/>
            </w:tcBorders>
            <w:tcMar>
              <w:left w:w="108" w:type="dxa"/>
              <w:right w:w="108" w:type="dxa"/>
            </w:tcMar>
            <w:vAlign w:val="top"/>
          </w:tcPr>
          <w:p w:rsidR="7F6EF22F" w:rsidP="51862C77" w:rsidRDefault="7F6EF22F" w14:paraId="0B792265" w14:textId="6006419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true/false</w:t>
            </w:r>
          </w:p>
        </w:tc>
        <w:tc>
          <w:tcPr>
            <w:tcW w:w="2383" w:type="dxa"/>
            <w:tcBorders>
              <w:top w:val="single" w:sz="8"/>
              <w:left w:val="single" w:sz="8"/>
              <w:bottom w:val="single" w:sz="8"/>
              <w:right w:val="single" w:sz="8"/>
            </w:tcBorders>
            <w:tcMar>
              <w:left w:w="108" w:type="dxa"/>
              <w:right w:w="108" w:type="dxa"/>
            </w:tcMar>
            <w:vAlign w:val="top"/>
          </w:tcPr>
          <w:p w:rsidR="7F6EF22F" w:rsidP="51862C77" w:rsidRDefault="7F6EF22F" w14:paraId="1B53FA1C" w14:textId="5380122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output indicates whether adding ICS is guideline-concordant.</w:t>
            </w:r>
          </w:p>
        </w:tc>
        <w:tc>
          <w:tcPr>
            <w:tcW w:w="2061" w:type="dxa"/>
            <w:tcBorders>
              <w:top w:val="single" w:sz="8"/>
              <w:left w:val="single" w:sz="8"/>
              <w:bottom w:val="single" w:sz="8"/>
              <w:right w:val="single" w:sz="8"/>
            </w:tcBorders>
            <w:tcMar>
              <w:left w:w="108" w:type="dxa"/>
              <w:right w:w="108" w:type="dxa"/>
            </w:tcMar>
            <w:vAlign w:val="top"/>
          </w:tcPr>
          <w:p w:rsidR="7F6EF22F" w:rsidP="51862C77" w:rsidRDefault="7F6EF22F" w14:paraId="2F89F44A" w14:textId="0097796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It feeds the BPMN gateway 'ICS indication present?'.</w:t>
            </w:r>
          </w:p>
        </w:tc>
      </w:tr>
      <w:tr w:rsidR="7F6EF22F" w:rsidTr="51862C77" w14:paraId="758CA3EA">
        <w:trPr>
          <w:trHeight w:val="300"/>
        </w:trPr>
        <w:tc>
          <w:tcPr>
            <w:tcW w:w="1035" w:type="dxa"/>
            <w:tcBorders>
              <w:top w:val="single" w:sz="8"/>
              <w:left w:val="single" w:sz="8"/>
              <w:bottom w:val="single" w:sz="8"/>
              <w:right w:val="single" w:sz="8"/>
            </w:tcBorders>
            <w:tcMar>
              <w:left w:w="108" w:type="dxa"/>
              <w:right w:w="108" w:type="dxa"/>
            </w:tcMar>
            <w:vAlign w:val="top"/>
          </w:tcPr>
          <w:p w:rsidR="7F6EF22F" w:rsidP="51862C77" w:rsidRDefault="7F6EF22F" w14:paraId="2C571F6C" w14:textId="26D7B65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Rule_Ics_1</w:t>
            </w:r>
          </w:p>
        </w:tc>
        <w:tc>
          <w:tcPr>
            <w:tcW w:w="1991" w:type="dxa"/>
            <w:tcBorders>
              <w:top w:val="single" w:sz="8"/>
              <w:left w:val="single" w:sz="8"/>
              <w:bottom w:val="single" w:sz="8"/>
              <w:right w:val="single" w:sz="8"/>
            </w:tcBorders>
            <w:tcMar>
              <w:left w:w="108" w:type="dxa"/>
              <w:right w:w="108" w:type="dxa"/>
            </w:tcMar>
            <w:vAlign w:val="top"/>
          </w:tcPr>
          <w:p w:rsidR="7F6EF22F" w:rsidP="51862C77" w:rsidRDefault="7F6EF22F" w14:paraId="589AD9E4" w14:textId="5D17584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 &gt;= 300</w:t>
            </w:r>
          </w:p>
        </w:tc>
        <w:tc>
          <w:tcPr>
            <w:tcW w:w="1545" w:type="dxa"/>
            <w:tcBorders>
              <w:top w:val="single" w:sz="8"/>
              <w:left w:val="single" w:sz="8"/>
              <w:bottom w:val="single" w:sz="8"/>
              <w:right w:val="single" w:sz="8"/>
            </w:tcBorders>
            <w:tcMar>
              <w:left w:w="108" w:type="dxa"/>
              <w:right w:w="108" w:type="dxa"/>
            </w:tcMar>
            <w:vAlign w:val="top"/>
          </w:tcPr>
          <w:p w:rsidR="7F6EF22F" w:rsidP="51862C77" w:rsidRDefault="7F6EF22F" w14:paraId="1E91C763" w14:textId="60C9441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icsIndicated = true</w:t>
            </w:r>
          </w:p>
        </w:tc>
        <w:tc>
          <w:tcPr>
            <w:tcW w:w="2383" w:type="dxa"/>
            <w:tcBorders>
              <w:top w:val="single" w:sz="8"/>
              <w:left w:val="single" w:sz="8"/>
              <w:bottom w:val="single" w:sz="8"/>
              <w:right w:val="single" w:sz="8"/>
            </w:tcBorders>
            <w:tcMar>
              <w:left w:w="108" w:type="dxa"/>
              <w:right w:w="108" w:type="dxa"/>
            </w:tcMar>
            <w:vAlign w:val="top"/>
          </w:tcPr>
          <w:p w:rsidR="7F6EF22F" w:rsidP="51862C77" w:rsidRDefault="7F6EF22F" w14:paraId="24A08EDF" w14:textId="1D3BDD7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At eosinophil counts of 300 cells/microlitre or higher, clinical benefit of ICS is supported.</w:t>
            </w:r>
          </w:p>
        </w:tc>
        <w:tc>
          <w:tcPr>
            <w:tcW w:w="2061" w:type="dxa"/>
            <w:tcBorders>
              <w:top w:val="single" w:sz="8"/>
              <w:left w:val="single" w:sz="8"/>
              <w:bottom w:val="single" w:sz="8"/>
              <w:right w:val="single" w:sz="8"/>
            </w:tcBorders>
            <w:tcMar>
              <w:left w:w="108" w:type="dxa"/>
              <w:right w:w="108" w:type="dxa"/>
            </w:tcMar>
            <w:vAlign w:val="top"/>
          </w:tcPr>
          <w:p w:rsidR="7F6EF22F" w:rsidP="51862C77" w:rsidRDefault="7F6EF22F" w14:paraId="28730314" w14:textId="5F6D0BCC">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BPMN can proceed towards triple therapy.</w:t>
            </w:r>
          </w:p>
        </w:tc>
      </w:tr>
      <w:tr w:rsidR="7F6EF22F" w:rsidTr="51862C77" w14:paraId="4FF1EC47">
        <w:trPr>
          <w:trHeight w:val="300"/>
        </w:trPr>
        <w:tc>
          <w:tcPr>
            <w:tcW w:w="1035" w:type="dxa"/>
            <w:tcBorders>
              <w:top w:val="single" w:sz="8"/>
              <w:left w:val="single" w:sz="8"/>
              <w:bottom w:val="single" w:sz="8"/>
              <w:right w:val="single" w:sz="8"/>
            </w:tcBorders>
            <w:tcMar>
              <w:left w:w="108" w:type="dxa"/>
              <w:right w:w="108" w:type="dxa"/>
            </w:tcMar>
            <w:vAlign w:val="top"/>
          </w:tcPr>
          <w:p w:rsidR="7F6EF22F" w:rsidP="51862C77" w:rsidRDefault="7F6EF22F" w14:paraId="011D4225" w14:textId="2843E19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Rule_Ics_2</w:t>
            </w:r>
          </w:p>
        </w:tc>
        <w:tc>
          <w:tcPr>
            <w:tcW w:w="1991" w:type="dxa"/>
            <w:tcBorders>
              <w:top w:val="single" w:sz="8"/>
              <w:left w:val="single" w:sz="8"/>
              <w:bottom w:val="single" w:sz="8"/>
              <w:right w:val="single" w:sz="8"/>
            </w:tcBorders>
            <w:tcMar>
              <w:left w:w="108" w:type="dxa"/>
              <w:right w:w="108" w:type="dxa"/>
            </w:tcMar>
            <w:vAlign w:val="top"/>
          </w:tcPr>
          <w:p w:rsidR="7F6EF22F" w:rsidP="51862C77" w:rsidRDefault="7F6EF22F" w14:paraId="52B21A60" w14:textId="4394B46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 &lt; 300 AND asthmaComponent = true</w:t>
            </w:r>
          </w:p>
        </w:tc>
        <w:tc>
          <w:tcPr>
            <w:tcW w:w="1545" w:type="dxa"/>
            <w:tcBorders>
              <w:top w:val="single" w:sz="8"/>
              <w:left w:val="single" w:sz="8"/>
              <w:bottom w:val="single" w:sz="8"/>
              <w:right w:val="single" w:sz="8"/>
            </w:tcBorders>
            <w:tcMar>
              <w:left w:w="108" w:type="dxa"/>
              <w:right w:w="108" w:type="dxa"/>
            </w:tcMar>
            <w:vAlign w:val="top"/>
          </w:tcPr>
          <w:p w:rsidR="7F6EF22F" w:rsidP="51862C77" w:rsidRDefault="7F6EF22F" w14:paraId="606815DB" w14:textId="3CD83A1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icsIndicated = true</w:t>
            </w:r>
          </w:p>
        </w:tc>
        <w:tc>
          <w:tcPr>
            <w:tcW w:w="2383" w:type="dxa"/>
            <w:tcBorders>
              <w:top w:val="single" w:sz="8"/>
              <w:left w:val="single" w:sz="8"/>
              <w:bottom w:val="single" w:sz="8"/>
              <w:right w:val="single" w:sz="8"/>
            </w:tcBorders>
            <w:tcMar>
              <w:left w:w="108" w:type="dxa"/>
              <w:right w:w="108" w:type="dxa"/>
            </w:tcMar>
            <w:vAlign w:val="top"/>
          </w:tcPr>
          <w:p w:rsidR="7F6EF22F" w:rsidP="51862C77" w:rsidRDefault="7F6EF22F" w14:paraId="7A919158" w14:textId="09DBDCE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An asthma component supports ICS even with lower eosinophil counts.</w:t>
            </w:r>
          </w:p>
        </w:tc>
        <w:tc>
          <w:tcPr>
            <w:tcW w:w="2061" w:type="dxa"/>
            <w:tcBorders>
              <w:top w:val="single" w:sz="8"/>
              <w:left w:val="single" w:sz="8"/>
              <w:bottom w:val="single" w:sz="8"/>
              <w:right w:val="single" w:sz="8"/>
            </w:tcBorders>
            <w:tcMar>
              <w:left w:w="108" w:type="dxa"/>
              <w:right w:w="108" w:type="dxa"/>
            </w:tcMar>
            <w:vAlign w:val="top"/>
          </w:tcPr>
          <w:p w:rsidR="7F6EF22F" w:rsidP="51862C77" w:rsidRDefault="7F6EF22F" w14:paraId="05D4B985" w14:textId="62E6DCB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BPMN can proceed towards triple therapy.</w:t>
            </w:r>
          </w:p>
        </w:tc>
      </w:tr>
      <w:tr w:rsidR="7F6EF22F" w:rsidTr="51862C77" w14:paraId="460ABFDB">
        <w:trPr>
          <w:trHeight w:val="300"/>
        </w:trPr>
        <w:tc>
          <w:tcPr>
            <w:tcW w:w="1035" w:type="dxa"/>
            <w:tcBorders>
              <w:top w:val="single" w:sz="8"/>
              <w:left w:val="single" w:sz="8"/>
              <w:bottom w:val="single" w:sz="8"/>
              <w:right w:val="single" w:sz="8"/>
            </w:tcBorders>
            <w:tcMar>
              <w:left w:w="108" w:type="dxa"/>
              <w:right w:w="108" w:type="dxa"/>
            </w:tcMar>
            <w:vAlign w:val="top"/>
          </w:tcPr>
          <w:p w:rsidR="7F6EF22F" w:rsidP="51862C77" w:rsidRDefault="7F6EF22F" w14:paraId="6BA45B93" w14:textId="47413E0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Rule_Ics_3</w:t>
            </w:r>
          </w:p>
        </w:tc>
        <w:tc>
          <w:tcPr>
            <w:tcW w:w="1991" w:type="dxa"/>
            <w:tcBorders>
              <w:top w:val="single" w:sz="8"/>
              <w:left w:val="single" w:sz="8"/>
              <w:bottom w:val="single" w:sz="8"/>
              <w:right w:val="single" w:sz="8"/>
            </w:tcBorders>
            <w:tcMar>
              <w:left w:w="108" w:type="dxa"/>
              <w:right w:w="108" w:type="dxa"/>
            </w:tcMar>
            <w:vAlign w:val="top"/>
          </w:tcPr>
          <w:p w:rsidR="7F6EF22F" w:rsidP="51862C77" w:rsidRDefault="7F6EF22F" w14:paraId="74873832" w14:textId="347843E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 &lt; 300 AND asthmaComponent = false</w:t>
            </w:r>
          </w:p>
        </w:tc>
        <w:tc>
          <w:tcPr>
            <w:tcW w:w="1545" w:type="dxa"/>
            <w:tcBorders>
              <w:top w:val="single" w:sz="8"/>
              <w:left w:val="single" w:sz="8"/>
              <w:bottom w:val="single" w:sz="8"/>
              <w:right w:val="single" w:sz="8"/>
            </w:tcBorders>
            <w:tcMar>
              <w:left w:w="108" w:type="dxa"/>
              <w:right w:w="108" w:type="dxa"/>
            </w:tcMar>
            <w:vAlign w:val="top"/>
          </w:tcPr>
          <w:p w:rsidR="7F6EF22F" w:rsidP="51862C77" w:rsidRDefault="7F6EF22F" w14:paraId="14332537" w14:textId="29A9C5E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icsIndicated = false</w:t>
            </w:r>
          </w:p>
        </w:tc>
        <w:tc>
          <w:tcPr>
            <w:tcW w:w="2383" w:type="dxa"/>
            <w:tcBorders>
              <w:top w:val="single" w:sz="8"/>
              <w:left w:val="single" w:sz="8"/>
              <w:bottom w:val="single" w:sz="8"/>
              <w:right w:val="single" w:sz="8"/>
            </w:tcBorders>
            <w:tcMar>
              <w:left w:w="108" w:type="dxa"/>
              <w:right w:w="108" w:type="dxa"/>
            </w:tcMar>
            <w:vAlign w:val="top"/>
          </w:tcPr>
          <w:p w:rsidR="7F6EF22F" w:rsidP="51862C77" w:rsidRDefault="7F6EF22F" w14:paraId="0EE5EB96" w14:textId="577D887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neither asthma nor elevated eosinophils are present, ICS should not be added.</w:t>
            </w:r>
          </w:p>
        </w:tc>
        <w:tc>
          <w:tcPr>
            <w:tcW w:w="2061" w:type="dxa"/>
            <w:tcBorders>
              <w:top w:val="single" w:sz="8"/>
              <w:left w:val="single" w:sz="8"/>
              <w:bottom w:val="single" w:sz="8"/>
              <w:right w:val="single" w:sz="8"/>
            </w:tcBorders>
            <w:tcMar>
              <w:left w:w="108" w:type="dxa"/>
              <w:right w:w="108" w:type="dxa"/>
            </w:tcMar>
            <w:vAlign w:val="top"/>
          </w:tcPr>
          <w:p w:rsidR="7F6EF22F" w:rsidP="51862C77" w:rsidRDefault="7F6EF22F" w14:paraId="0380A3F5" w14:textId="3F9FAC2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BPMN should not proceed to ICS escalation.</w:t>
            </w:r>
          </w:p>
        </w:tc>
      </w:tr>
    </w:tbl>
    <w:p w:rsidR="7F6EF22F" w:rsidP="51862C77" w:rsidRDefault="7F6EF22F" w14:paraId="18D275D8" w14:textId="61F4DD0E">
      <w:pPr>
        <w:pStyle w:val="Normal"/>
        <w:spacing w:line="240" w:lineRule="auto"/>
        <w:rPr>
          <w:rFonts w:ascii="Arial" w:hAnsi="Arial" w:eastAsia="Arial" w:cs="Arial"/>
          <w:b w:val="1"/>
          <w:bCs w:val="1"/>
          <w:color w:val="000000" w:themeColor="text1" w:themeTint="FF" w:themeShade="FF"/>
        </w:rPr>
      </w:pPr>
    </w:p>
    <w:p w:rsidR="06450E2B" w:rsidP="51862C77" w:rsidRDefault="06450E2B" w14:paraId="109AB803" w14:textId="0941A495">
      <w:pPr>
        <w:pStyle w:val="Normal"/>
        <w:spacing w:line="240" w:lineRule="auto"/>
        <w:rPr>
          <w:rFonts w:ascii="Arial" w:hAnsi="Arial" w:eastAsia="Arial" w:cs="Arial"/>
          <w:b w:val="1"/>
          <w:bCs w:val="1"/>
          <w:color w:val="000000" w:themeColor="text1" w:themeTint="FF" w:themeShade="FF"/>
          <w:sz w:val="20"/>
          <w:szCs w:val="20"/>
        </w:rPr>
      </w:pPr>
      <w:r w:rsidRPr="51862C77" w:rsidR="69459538">
        <w:rPr>
          <w:rFonts w:ascii="Arial" w:hAnsi="Arial" w:eastAsia="Arial" w:cs="Arial"/>
          <w:b w:val="1"/>
          <w:bCs w:val="1"/>
          <w:color w:val="000000" w:themeColor="text1" w:themeTint="FF" w:themeShade="FF"/>
          <w:sz w:val="20"/>
          <w:szCs w:val="20"/>
        </w:rPr>
        <w:t>Table S2c-4. DMN decision table for ICS review and de-escalation.</w:t>
      </w:r>
    </w:p>
    <w:tbl>
      <w:tblPr>
        <w:tblStyle w:val="TableGrid"/>
        <w:bidiVisual w:val="0"/>
        <w:tblW w:w="9015" w:type="dxa"/>
        <w:tblLook w:val="06A0" w:firstRow="1" w:lastRow="0" w:firstColumn="1" w:lastColumn="0" w:noHBand="1" w:noVBand="1"/>
      </w:tblPr>
      <w:tblGrid>
        <w:gridCol w:w="1305"/>
        <w:gridCol w:w="1980"/>
        <w:gridCol w:w="1285"/>
        <w:gridCol w:w="2379"/>
        <w:gridCol w:w="2066"/>
      </w:tblGrid>
      <w:tr w:rsidR="7F6EF22F" w:rsidTr="52C55E83" w14:paraId="2F0F3AFD">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2D6946A5" w14:textId="040F4606">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DMN element</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643CD37A" w14:textId="7308BBF2">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Variable / condition</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70D758DA" w14:textId="42ADBB3A">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Output</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31E78026" w14:textId="6769F44F">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Evidence from NVL COPD</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62B01D1A" w14:textId="00EF8EC1">
            <w:pPr>
              <w:spacing w:before="0" w:beforeAutospacing="off" w:after="0" w:afterAutospacing="off" w:line="240" w:lineRule="auto"/>
              <w:jc w:val="center"/>
              <w:rPr>
                <w:rFonts w:ascii="Arial" w:hAnsi="Arial" w:eastAsia="Arial" w:cs="Arial"/>
                <w:b w:val="1"/>
                <w:bCs w:val="1"/>
                <w:sz w:val="18"/>
                <w:szCs w:val="18"/>
                <w:lang w:val="en-US"/>
              </w:rPr>
            </w:pPr>
            <w:r w:rsidRPr="51862C77" w:rsidR="00D62B49">
              <w:rPr>
                <w:rFonts w:ascii="Arial" w:hAnsi="Arial" w:eastAsia="Arial" w:cs="Arial"/>
                <w:b w:val="1"/>
                <w:bCs w:val="1"/>
                <w:sz w:val="18"/>
                <w:szCs w:val="18"/>
                <w:lang w:val="en-US"/>
              </w:rPr>
              <w:t>BPMN reference</w:t>
            </w:r>
          </w:p>
        </w:tc>
      </w:tr>
      <w:tr w:rsidR="7F6EF22F" w:rsidTr="52C55E83" w14:paraId="3445C8FC">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482564EF" w14:textId="4C82BC8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25B523D7" w14:textId="4A0B795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1491DAC9" w14:textId="18F1C30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1F4BF3DC" w14:textId="2B24965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 count guides de-escalation decisions for existing ICS therapy.</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553422E7" w14:textId="05A5536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Evaluated in 'Review ICS indication'.</w:t>
            </w:r>
          </w:p>
        </w:tc>
      </w:tr>
      <w:tr w:rsidR="7F6EF22F" w:rsidTr="52C55E83" w14:paraId="1F1807AB">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593E494A" w14:textId="324BB82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77481251" w14:textId="427F4DD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pneumoniaUnderIcs = true/false</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3E08CECB" w14:textId="69FF173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45855F5C" w14:textId="4078FC0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Pneumonia under ICS requires critical re-evaluation.</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2187B403" w14:textId="6E20652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Can be assessed in the clinical risk pathway.</w:t>
            </w:r>
          </w:p>
        </w:tc>
      </w:tr>
      <w:tr w:rsidR="7F6EF22F" w:rsidTr="52C55E83" w14:paraId="2D9319E5">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07AB3FB3" w14:textId="13BC652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Input</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01CF1AC7" w14:textId="16C6DC58">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asthmaComponent = true/false</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0986621F" w14:textId="13CFF5F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58E5C21B" w14:textId="75436C8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An asthma component protects against inappropriate ICS withdrawal.</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776B9E8A" w14:textId="56EB45D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Provided by prior diagnostic assessment.</w:t>
            </w:r>
          </w:p>
        </w:tc>
      </w:tr>
      <w:tr w:rsidR="7F6EF22F" w:rsidTr="52C55E83" w14:paraId="5B62F822">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191C892D" w14:textId="0151D4A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Output</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2D6039C9" w14:textId="607430C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maintainIcs</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4AF03D12" w14:textId="2E4D821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true/false</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2F3E0F40" w14:textId="73B10E0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output controls whether ICS should be maintained or discontinued.</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1F9D8505" w14:textId="09185CF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It routes to de-escalation or continuation of therapy.</w:t>
            </w:r>
          </w:p>
        </w:tc>
      </w:tr>
      <w:tr w:rsidR="7F6EF22F" w:rsidTr="52C55E83" w14:paraId="7B4F86D0">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7AAD1547" w14:textId="39E25FD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Rule_Rev_1</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421FF209" w14:textId="4B02703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pneumoniaUnderIcs = true</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5089492D" w14:textId="323CEF9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maintainIcs = false</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54DE35B2" w14:textId="0F4802FD">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is a priority rule: if pneumonia occurs under ICS, ICS should be discontinued.</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56E8F943" w14:textId="172A9DA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Hit policy FIRST was used to prioritise this safety rule.</w:t>
            </w:r>
          </w:p>
        </w:tc>
      </w:tr>
      <w:tr w:rsidR="7F6EF22F" w:rsidTr="52C55E83" w14:paraId="10566F36">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03E7372A" w14:textId="7E8CBA84">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Rule_Rev_2</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34AF0F73" w14:textId="3F3E4E42">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 &lt; 100 AND pneumoniaUnderIcs = false AND asthmaComponent = false</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50233969" w14:textId="7BF0E03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maintainIcs = false</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4B09EE4E" w14:textId="541F096E">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For eosinophils below 100 cells/microlitre without asthma, the guideline recommends discontinuing ICS.</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7B36E07E" w14:textId="4714FA1B">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BPMN routes to the ICS de-escalation path.</w:t>
            </w:r>
          </w:p>
        </w:tc>
      </w:tr>
      <w:tr w:rsidR="7F6EF22F" w:rsidTr="52C55E83" w14:paraId="0C1569B9">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5D975F3C" w14:textId="530A0969">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Rule_Rev_3</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658116DA" w14:textId="37E1B39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 100-299 AND pneumoniaUnderIcs = false AND asthmaComponent = false</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00C6DBE9" w14:textId="7A0ADD60">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maintainIcs = true</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6AB22FBF" w14:textId="70D58F1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NVL does not define an explicit threshold-based rule for this intermediate range. This creates a formalisation boundary because DMN requires a clear output.</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6CEE0D69" w14:textId="5174BD0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The rule documents the modelling assumption that clinical judgement predominates in this range.</w:t>
            </w:r>
          </w:p>
        </w:tc>
      </w:tr>
      <w:tr w:rsidR="7F6EF22F" w:rsidTr="52C55E83" w14:paraId="581CCA88">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4A244EAA" w14:textId="6F7709D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Rule_Rev_4</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5765FED7" w14:textId="616D58F1">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eosinophils &gt;= 100 AND pneumoniaUnderIcs = false</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11E29DB3" w14:textId="7F0AE1DA">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maintainIcs = true</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7C20F7EB" w14:textId="19D98B0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At intermediate or higher eosinophil counts, benefit is assumed to outweigh withdrawal unless other risks apply.</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225F662D" w14:textId="18946137">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BPMN routes to continuation of ICS.</w:t>
            </w:r>
          </w:p>
        </w:tc>
      </w:tr>
      <w:tr w:rsidR="7F6EF22F" w:rsidTr="52C55E83" w14:paraId="6FE43827">
        <w:trPr>
          <w:trHeight w:val="300"/>
        </w:trPr>
        <w:tc>
          <w:tcPr>
            <w:tcW w:w="1305" w:type="dxa"/>
            <w:tcBorders>
              <w:top w:val="single" w:sz="8"/>
              <w:left w:val="single" w:sz="8"/>
              <w:bottom w:val="single" w:sz="8"/>
              <w:right w:val="single" w:sz="8"/>
            </w:tcBorders>
            <w:tcMar>
              <w:left w:w="108" w:type="dxa"/>
              <w:right w:w="108" w:type="dxa"/>
            </w:tcMar>
            <w:vAlign w:val="top"/>
          </w:tcPr>
          <w:p w:rsidR="7F6EF22F" w:rsidP="51862C77" w:rsidRDefault="7F6EF22F" w14:paraId="2D6F4DA3" w14:textId="413000C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Rule_Rev_5</w:t>
            </w:r>
          </w:p>
        </w:tc>
        <w:tc>
          <w:tcPr>
            <w:tcW w:w="1980" w:type="dxa"/>
            <w:tcBorders>
              <w:top w:val="single" w:sz="8"/>
              <w:left w:val="single" w:sz="8"/>
              <w:bottom w:val="single" w:sz="8"/>
              <w:right w:val="single" w:sz="8"/>
            </w:tcBorders>
            <w:tcMar>
              <w:left w:w="108" w:type="dxa"/>
              <w:right w:w="108" w:type="dxa"/>
            </w:tcMar>
            <w:vAlign w:val="top"/>
          </w:tcPr>
          <w:p w:rsidR="7F6EF22F" w:rsidP="51862C77" w:rsidRDefault="7F6EF22F" w14:paraId="47D2DE78" w14:textId="1EC64983">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pneumoniaUnderIcs = false AND asthmaComponent = true</w:t>
            </w:r>
          </w:p>
        </w:tc>
        <w:tc>
          <w:tcPr>
            <w:tcW w:w="1285" w:type="dxa"/>
            <w:tcBorders>
              <w:top w:val="single" w:sz="8"/>
              <w:left w:val="single" w:sz="8"/>
              <w:bottom w:val="single" w:sz="8"/>
              <w:right w:val="single" w:sz="8"/>
            </w:tcBorders>
            <w:tcMar>
              <w:left w:w="108" w:type="dxa"/>
              <w:right w:w="108" w:type="dxa"/>
            </w:tcMar>
            <w:vAlign w:val="top"/>
          </w:tcPr>
          <w:p w:rsidR="7F6EF22F" w:rsidP="51862C77" w:rsidRDefault="7F6EF22F" w14:paraId="7F53AF83" w14:textId="069A8F5F">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maintainIcs = true</w:t>
            </w:r>
          </w:p>
        </w:tc>
        <w:tc>
          <w:tcPr>
            <w:tcW w:w="2379" w:type="dxa"/>
            <w:tcBorders>
              <w:top w:val="single" w:sz="8"/>
              <w:left w:val="single" w:sz="8"/>
              <w:bottom w:val="single" w:sz="8"/>
              <w:right w:val="single" w:sz="8"/>
            </w:tcBorders>
            <w:tcMar>
              <w:left w:w="108" w:type="dxa"/>
              <w:right w:w="108" w:type="dxa"/>
            </w:tcMar>
            <w:vAlign w:val="top"/>
          </w:tcPr>
          <w:p w:rsidR="7F6EF22F" w:rsidP="51862C77" w:rsidRDefault="7F6EF22F" w14:paraId="4660F0D8" w14:textId="784FBA16">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If an asthma phenotype is present and there is no acute pneumonia, ICS should not be discontinued.</w:t>
            </w:r>
          </w:p>
        </w:tc>
        <w:tc>
          <w:tcPr>
            <w:tcW w:w="2066" w:type="dxa"/>
            <w:tcBorders>
              <w:top w:val="single" w:sz="8"/>
              <w:left w:val="single" w:sz="8"/>
              <w:bottom w:val="single" w:sz="8"/>
              <w:right w:val="single" w:sz="8"/>
            </w:tcBorders>
            <w:tcMar>
              <w:left w:w="108" w:type="dxa"/>
              <w:right w:w="108" w:type="dxa"/>
            </w:tcMar>
            <w:vAlign w:val="top"/>
          </w:tcPr>
          <w:p w:rsidR="7F6EF22F" w:rsidP="51862C77" w:rsidRDefault="7F6EF22F" w14:paraId="0D8C5612" w14:textId="1D3879E5">
            <w:pPr>
              <w:spacing w:before="0" w:beforeAutospacing="off" w:after="0" w:afterAutospacing="off" w:line="240" w:lineRule="auto"/>
              <w:rPr>
                <w:rFonts w:ascii="Arial" w:hAnsi="Arial" w:eastAsia="Arial" w:cs="Arial"/>
                <w:sz w:val="18"/>
                <w:szCs w:val="18"/>
                <w:lang w:val="en-US"/>
              </w:rPr>
            </w:pPr>
            <w:r w:rsidRPr="51862C77" w:rsidR="00D62B49">
              <w:rPr>
                <w:rFonts w:ascii="Arial" w:hAnsi="Arial" w:eastAsia="Arial" w:cs="Arial"/>
                <w:sz w:val="18"/>
                <w:szCs w:val="18"/>
                <w:lang w:val="en-US"/>
              </w:rPr>
              <w:t>This protects against inappropriate de-escalation.</w:t>
            </w:r>
          </w:p>
        </w:tc>
      </w:tr>
    </w:tbl>
    <w:p w:rsidR="7F6EF22F" w:rsidP="51862C77" w:rsidRDefault="7F6EF22F" w14:paraId="62BDDDF9" w14:textId="496711F9">
      <w:pPr>
        <w:pStyle w:val="Normal"/>
        <w:spacing w:line="240" w:lineRule="auto"/>
        <w:rPr>
          <w:rFonts w:ascii="Arial" w:hAnsi="Arial" w:eastAsia="Arial" w:cs="Arial"/>
          <w:b w:val="1"/>
          <w:bCs w:val="1"/>
          <w:color w:val="000000" w:themeColor="text1" w:themeTint="FF" w:themeShade="FF"/>
        </w:rPr>
      </w:pPr>
    </w:p>
    <w:p w:rsidR="7F6EF22F" w:rsidP="51862C77" w:rsidRDefault="7F6EF22F" w14:paraId="51882BCF" w14:textId="570F11B2">
      <w:pPr>
        <w:pStyle w:val="Normal"/>
        <w:spacing w:line="240" w:lineRule="auto"/>
        <w:rPr>
          <w:rFonts w:ascii="Arial" w:hAnsi="Arial" w:eastAsia="Arial" w:cs="Arial"/>
          <w:b w:val="1"/>
          <w:bCs w:val="1"/>
          <w:color w:val="000000" w:themeColor="text1" w:themeTint="FF" w:themeShade="FF"/>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6">
    <w:nsid w:val="2c3a885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682847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6d1a3c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0ebce3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ca76bd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b678e0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413ef2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51adef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fed11c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ab871a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ea5d75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320979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badd36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4d82d2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0af707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42c9b4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b88add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771a06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150985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9ad3ae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3eb3b1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4246fa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129d6d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bdfb0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c69196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969350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54b06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420a5c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8af0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41f1da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52a6d5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ebd804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9a8ae3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f5a0b2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9f9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d9bc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c09d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784b3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c2926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06454a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8d9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96d46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d0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7310d4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252d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a6a26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a8c4fe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25f32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d5897b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6fddc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198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0659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2d753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5aa03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7c7eb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756bb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1F6BA4"/>
    <w:rsid w:val="0007C537"/>
    <w:rsid w:val="005A194E"/>
    <w:rsid w:val="0088FD35"/>
    <w:rsid w:val="0094C131"/>
    <w:rsid w:val="00D62B49"/>
    <w:rsid w:val="01A23252"/>
    <w:rsid w:val="04B87730"/>
    <w:rsid w:val="05085AD8"/>
    <w:rsid w:val="06450E2B"/>
    <w:rsid w:val="07A98B6D"/>
    <w:rsid w:val="0813FB7C"/>
    <w:rsid w:val="09018B56"/>
    <w:rsid w:val="09315977"/>
    <w:rsid w:val="0967565F"/>
    <w:rsid w:val="0A7EEE69"/>
    <w:rsid w:val="0C596808"/>
    <w:rsid w:val="0C8CAFBB"/>
    <w:rsid w:val="0D52D6B4"/>
    <w:rsid w:val="0D982404"/>
    <w:rsid w:val="0E1EC504"/>
    <w:rsid w:val="0F484D2E"/>
    <w:rsid w:val="0FA8E648"/>
    <w:rsid w:val="10EFD489"/>
    <w:rsid w:val="13064B6E"/>
    <w:rsid w:val="13AEAE03"/>
    <w:rsid w:val="13C365FC"/>
    <w:rsid w:val="13DBAE5E"/>
    <w:rsid w:val="14200515"/>
    <w:rsid w:val="146430A0"/>
    <w:rsid w:val="146430A0"/>
    <w:rsid w:val="1471E7E4"/>
    <w:rsid w:val="15281C56"/>
    <w:rsid w:val="15E85FB6"/>
    <w:rsid w:val="16C789D7"/>
    <w:rsid w:val="16C78A73"/>
    <w:rsid w:val="16DF1B2D"/>
    <w:rsid w:val="16F8CC4E"/>
    <w:rsid w:val="17B748DC"/>
    <w:rsid w:val="18882D6A"/>
    <w:rsid w:val="18E1638D"/>
    <w:rsid w:val="18F8EDCD"/>
    <w:rsid w:val="18F8EDCD"/>
    <w:rsid w:val="190D69F7"/>
    <w:rsid w:val="1A2DEEEB"/>
    <w:rsid w:val="1A326D5B"/>
    <w:rsid w:val="1AB1A1E2"/>
    <w:rsid w:val="1B4677DD"/>
    <w:rsid w:val="1B8F5098"/>
    <w:rsid w:val="1B8F5098"/>
    <w:rsid w:val="1BFA3711"/>
    <w:rsid w:val="1C3C6B2A"/>
    <w:rsid w:val="1C48FC37"/>
    <w:rsid w:val="1C70BA0B"/>
    <w:rsid w:val="1DAE6DB0"/>
    <w:rsid w:val="1E241544"/>
    <w:rsid w:val="216A0F16"/>
    <w:rsid w:val="24CFF717"/>
    <w:rsid w:val="258CE738"/>
    <w:rsid w:val="258CE738"/>
    <w:rsid w:val="26234C09"/>
    <w:rsid w:val="26234C09"/>
    <w:rsid w:val="26A110DF"/>
    <w:rsid w:val="26ADBFFD"/>
    <w:rsid w:val="27DE3590"/>
    <w:rsid w:val="27F997F7"/>
    <w:rsid w:val="290D40FE"/>
    <w:rsid w:val="2A13B221"/>
    <w:rsid w:val="2AB3CE65"/>
    <w:rsid w:val="2AC8580C"/>
    <w:rsid w:val="2C04E4C2"/>
    <w:rsid w:val="2C04E4C2"/>
    <w:rsid w:val="2C7C993F"/>
    <w:rsid w:val="2CEB8914"/>
    <w:rsid w:val="2CEB8914"/>
    <w:rsid w:val="2EFFEBD6"/>
    <w:rsid w:val="2F39C556"/>
    <w:rsid w:val="304B54B6"/>
    <w:rsid w:val="31A2789C"/>
    <w:rsid w:val="31A8C8DF"/>
    <w:rsid w:val="334BAB4D"/>
    <w:rsid w:val="34EBEC31"/>
    <w:rsid w:val="38312EC0"/>
    <w:rsid w:val="399FBCA5"/>
    <w:rsid w:val="3D144E3A"/>
    <w:rsid w:val="3D2C2ABF"/>
    <w:rsid w:val="3DAE8FFE"/>
    <w:rsid w:val="3EEBE114"/>
    <w:rsid w:val="3F8425D2"/>
    <w:rsid w:val="3F909C37"/>
    <w:rsid w:val="403D3967"/>
    <w:rsid w:val="4143A754"/>
    <w:rsid w:val="418D624E"/>
    <w:rsid w:val="42450D51"/>
    <w:rsid w:val="42B2992C"/>
    <w:rsid w:val="43F81DE0"/>
    <w:rsid w:val="43F81DE0"/>
    <w:rsid w:val="4400B8DB"/>
    <w:rsid w:val="45D977B6"/>
    <w:rsid w:val="483292E5"/>
    <w:rsid w:val="4B40D60E"/>
    <w:rsid w:val="4B6F0347"/>
    <w:rsid w:val="4BD2B23F"/>
    <w:rsid w:val="4C63524D"/>
    <w:rsid w:val="4C63524D"/>
    <w:rsid w:val="4D6D9652"/>
    <w:rsid w:val="4E9E14DA"/>
    <w:rsid w:val="4EF23B03"/>
    <w:rsid w:val="507DEBFB"/>
    <w:rsid w:val="50DED319"/>
    <w:rsid w:val="51862C77"/>
    <w:rsid w:val="52C55E83"/>
    <w:rsid w:val="54317E75"/>
    <w:rsid w:val="54A96F05"/>
    <w:rsid w:val="556DFE80"/>
    <w:rsid w:val="5593011C"/>
    <w:rsid w:val="560F6136"/>
    <w:rsid w:val="566680D6"/>
    <w:rsid w:val="56AD3109"/>
    <w:rsid w:val="57426213"/>
    <w:rsid w:val="57950BF6"/>
    <w:rsid w:val="58143D7B"/>
    <w:rsid w:val="5A0124D1"/>
    <w:rsid w:val="5AABF16D"/>
    <w:rsid w:val="5AD2CB67"/>
    <w:rsid w:val="5B6A9CA0"/>
    <w:rsid w:val="5B81E2F7"/>
    <w:rsid w:val="5B860951"/>
    <w:rsid w:val="5BCE41D7"/>
    <w:rsid w:val="5C7A495B"/>
    <w:rsid w:val="5CD7C8B2"/>
    <w:rsid w:val="5E96C2FB"/>
    <w:rsid w:val="5F19A3D3"/>
    <w:rsid w:val="5F4B8143"/>
    <w:rsid w:val="5F4B8143"/>
    <w:rsid w:val="5F621B31"/>
    <w:rsid w:val="62A7846D"/>
    <w:rsid w:val="62CE53A2"/>
    <w:rsid w:val="63F2DE72"/>
    <w:rsid w:val="64EE3538"/>
    <w:rsid w:val="65347884"/>
    <w:rsid w:val="654ACEE4"/>
    <w:rsid w:val="666965F9"/>
    <w:rsid w:val="679EB052"/>
    <w:rsid w:val="679EB052"/>
    <w:rsid w:val="687BD258"/>
    <w:rsid w:val="69459538"/>
    <w:rsid w:val="6A9BD196"/>
    <w:rsid w:val="6AA28D8F"/>
    <w:rsid w:val="6B054049"/>
    <w:rsid w:val="6BB0F1B2"/>
    <w:rsid w:val="6C101DB0"/>
    <w:rsid w:val="6C25392D"/>
    <w:rsid w:val="6E237860"/>
    <w:rsid w:val="6E3B7668"/>
    <w:rsid w:val="6E6D3AFD"/>
    <w:rsid w:val="6F45883A"/>
    <w:rsid w:val="6F5CD5F1"/>
    <w:rsid w:val="709548DD"/>
    <w:rsid w:val="70A4DC9F"/>
    <w:rsid w:val="70F65A77"/>
    <w:rsid w:val="71AB8ABD"/>
    <w:rsid w:val="71B89875"/>
    <w:rsid w:val="71B89875"/>
    <w:rsid w:val="71DA835F"/>
    <w:rsid w:val="7258C7DB"/>
    <w:rsid w:val="73C37080"/>
    <w:rsid w:val="756D0273"/>
    <w:rsid w:val="7741F3BC"/>
    <w:rsid w:val="781F6BA4"/>
    <w:rsid w:val="7928DC1D"/>
    <w:rsid w:val="7945042C"/>
    <w:rsid w:val="7AC9DFF9"/>
    <w:rsid w:val="7AE5F9E0"/>
    <w:rsid w:val="7AE5F9E0"/>
    <w:rsid w:val="7E77E462"/>
    <w:rsid w:val="7ED5FFBC"/>
    <w:rsid w:val="7F6EF22F"/>
    <w:rsid w:val="7FA422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BE4E"/>
  <w15:chartTrackingRefBased/>
  <w15:docId w15:val="{ED226033-5A2B-45EF-9B11-F72E9FA108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F6EF22F"/>
    <w:pPr>
      <w:spacing/>
      <w:ind w:left="720"/>
      <w:contextualSpacing/>
    </w:pPr>
  </w:style>
  <w:style w:type="character" w:styleId="Hyperlink">
    <w:uiPriority w:val="99"/>
    <w:name w:val="Hyperlink"/>
    <w:basedOn w:val="DefaultParagraphFont"/>
    <w:unhideWhenUsed/>
    <w:rsid w:val="7F6EF22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ba5d75a1e874d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2026-06-07T12:25:03.3022757Z</dcterms:created>
  <dcterms:modified xsi:type="dcterms:W3CDTF">2026-06-12T13:51:09.5550363Z</dcterms:modified>
  <dc:creator>Azham, Hanna</dc:creator>
  <lastModifiedBy>Azham, Hanna</lastModifiedBy>
</coreProperties>
</file>