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489frg9wks" w:id="0"/>
      <w:bookmarkEnd w:id="0"/>
      <w:r w:rsidDel="00000000" w:rsidR="00000000" w:rsidRPr="00000000">
        <w:rPr>
          <w:rtl w:val="0"/>
        </w:rPr>
        <w:t xml:space="preserve">Tipos de Dados em 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 SQL (Structured Query Language), uma das linguagens de consulta de banco de dados mais utilizadas, é essencial compreender os tipos de dados disponíveis para armazenar as informações de forma adequada. A seguir, exploraremos os tipos de dados mais comuns em SQL, juntamente com exemplos de cada um deles.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Tipos de dados inteiros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ou INTERGER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Este tipo de dados é usado para representar números inteiros.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Exemplo: 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Tipos de dados de ponto flutuante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 tipo FLOAT é usado para números de ponto flutuante de precisão simples.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Exemplo: 3.14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Tipos de dados de caracteres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STRING armazena texto de comprimento variável sem limite específico.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Exemplo: 'Este é um exemplo de texto longo.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Tipos de dados de data e hora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DATE é usado para representar datas (ano, mês, dia).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Exemplo: '2023-10-19'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Para horas (hora, minuto, segundo), utilizamos TIME.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Exemplo: '15:30:45’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TIMESTAMP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TIMESTAMP armazena uma data e hora específicas.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Exemplo: '2023-10-19 15:30:45'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 Tipos de Datos Booleanos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BOOLEAN é usado para valores verdadeiros/falso.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Exemplo: VERDADEIRO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Estes são alguns dos tipos de dados mais comuns em SQL. Ao compreender esses tipos de dados e como eles são usados, você pode projetar bancos de dados eficientes e realizar consultas eficazes para aproveitar ao máximo seus dados.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