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0424" w14:textId="77777777" w:rsidR="004E1AD4" w:rsidRPr="00651B5D" w:rsidRDefault="004E1AD4">
      <w:pPr>
        <w:rPr>
          <w:rFonts w:cs="Times New Roman"/>
          <w:szCs w:val="24"/>
        </w:rPr>
      </w:pPr>
    </w:p>
    <w:p w14:paraId="6A7EA979" w14:textId="77777777" w:rsidR="00E04474" w:rsidRDefault="00E04474">
      <w:pPr>
        <w:rPr>
          <w:rFonts w:cs="Times New Roman"/>
          <w:szCs w:val="24"/>
        </w:rPr>
      </w:pPr>
    </w:p>
    <w:p w14:paraId="18388357" w14:textId="77777777" w:rsidR="00E04474" w:rsidRPr="00651B5D" w:rsidRDefault="00E04474">
      <w:pPr>
        <w:rPr>
          <w:rFonts w:cs="Times New Roman"/>
          <w:szCs w:val="24"/>
        </w:rPr>
      </w:pPr>
    </w:p>
    <w:p w14:paraId="4B136829" w14:textId="56018F01" w:rsidR="001B17D4" w:rsidRPr="00651B5D" w:rsidRDefault="00324F64" w:rsidP="00646920">
      <w:pPr>
        <w:pStyle w:val="BodyText"/>
        <w:tabs>
          <w:tab w:val="left" w:pos="10530"/>
        </w:tabs>
        <w:spacing w:line="480" w:lineRule="auto"/>
        <w:jc w:val="center"/>
        <w:rPr>
          <w:b/>
          <w:bCs/>
          <w:sz w:val="24"/>
          <w:szCs w:val="24"/>
        </w:rPr>
      </w:pPr>
      <w:r>
        <w:rPr>
          <w:b/>
          <w:bCs/>
          <w:sz w:val="24"/>
          <w:szCs w:val="24"/>
        </w:rPr>
        <w:t>Hospital Pharmacy Evaluation Proposal</w:t>
      </w:r>
    </w:p>
    <w:p w14:paraId="428FD8A4" w14:textId="77777777" w:rsidR="00382C6C" w:rsidRDefault="00382C6C" w:rsidP="001B17D4">
      <w:pPr>
        <w:pStyle w:val="BodyText"/>
        <w:spacing w:line="480" w:lineRule="auto"/>
        <w:ind w:right="30"/>
        <w:jc w:val="center"/>
        <w:rPr>
          <w:sz w:val="24"/>
          <w:szCs w:val="24"/>
          <w:highlight w:val="yellow"/>
        </w:rPr>
      </w:pPr>
    </w:p>
    <w:p w14:paraId="2376ED10" w14:textId="0A99A5D9" w:rsidR="00C12D39" w:rsidRDefault="00324F64" w:rsidP="00C46744">
      <w:pPr>
        <w:pStyle w:val="BodyText"/>
        <w:spacing w:line="480" w:lineRule="auto"/>
        <w:jc w:val="center"/>
        <w:rPr>
          <w:sz w:val="24"/>
          <w:szCs w:val="24"/>
        </w:rPr>
      </w:pPr>
      <w:r>
        <w:rPr>
          <w:sz w:val="24"/>
          <w:szCs w:val="24"/>
        </w:rPr>
        <w:t>Vanessa Fung-Kee-Fung</w:t>
      </w:r>
    </w:p>
    <w:p w14:paraId="24713E5B" w14:textId="2F0B7F1C" w:rsidR="001B17D4" w:rsidRPr="00651B5D" w:rsidRDefault="001B17D4" w:rsidP="00C46744">
      <w:pPr>
        <w:pStyle w:val="BodyText"/>
        <w:spacing w:line="480" w:lineRule="auto"/>
        <w:jc w:val="center"/>
        <w:rPr>
          <w:sz w:val="24"/>
          <w:szCs w:val="24"/>
        </w:rPr>
      </w:pPr>
      <w:r w:rsidRPr="00651B5D">
        <w:rPr>
          <w:sz w:val="24"/>
          <w:szCs w:val="24"/>
          <w:bdr w:val="none" w:sz="0" w:space="0" w:color="auto" w:frame="1"/>
        </w:rPr>
        <w:t xml:space="preserve">School of </w:t>
      </w:r>
      <w:r w:rsidR="00324F64">
        <w:rPr>
          <w:sz w:val="24"/>
          <w:szCs w:val="24"/>
          <w:bdr w:val="none" w:sz="0" w:space="0" w:color="auto" w:frame="1"/>
        </w:rPr>
        <w:t>Behavioral Sciences</w:t>
      </w:r>
      <w:r w:rsidRPr="00651B5D">
        <w:rPr>
          <w:sz w:val="24"/>
          <w:szCs w:val="24"/>
          <w:bdr w:val="none" w:sz="0" w:space="0" w:color="auto" w:frame="1"/>
        </w:rPr>
        <w:t xml:space="preserve">, </w:t>
      </w:r>
      <w:r w:rsidRPr="00651B5D">
        <w:rPr>
          <w:sz w:val="24"/>
          <w:szCs w:val="24"/>
        </w:rPr>
        <w:t>Liberty University</w:t>
      </w:r>
    </w:p>
    <w:p w14:paraId="2771DDBC" w14:textId="77777777" w:rsidR="00E04474" w:rsidRPr="00651B5D" w:rsidRDefault="00E04474">
      <w:pPr>
        <w:rPr>
          <w:rFonts w:cs="Times New Roman"/>
          <w:szCs w:val="24"/>
        </w:rPr>
      </w:pPr>
    </w:p>
    <w:p w14:paraId="5654435F" w14:textId="77777777" w:rsidR="00033212" w:rsidRDefault="00033212">
      <w:pPr>
        <w:rPr>
          <w:rFonts w:cs="Times New Roman"/>
          <w:szCs w:val="24"/>
        </w:rPr>
      </w:pPr>
    </w:p>
    <w:p w14:paraId="79A977B0" w14:textId="77777777" w:rsidR="00C46744" w:rsidRPr="00651B5D" w:rsidRDefault="00C46744">
      <w:pPr>
        <w:rPr>
          <w:rFonts w:cs="Times New Roman"/>
          <w:szCs w:val="24"/>
        </w:rPr>
      </w:pPr>
    </w:p>
    <w:p w14:paraId="75619584" w14:textId="77777777" w:rsidR="00033212" w:rsidRPr="00651B5D" w:rsidRDefault="00033212">
      <w:pPr>
        <w:rPr>
          <w:rFonts w:cs="Times New Roman"/>
          <w:szCs w:val="24"/>
        </w:rPr>
      </w:pPr>
    </w:p>
    <w:p w14:paraId="3BB1EF73" w14:textId="77777777" w:rsidR="007C2160" w:rsidRPr="00651B5D" w:rsidRDefault="007C2160">
      <w:pPr>
        <w:rPr>
          <w:rFonts w:cs="Times New Roman"/>
          <w:szCs w:val="24"/>
        </w:rPr>
      </w:pPr>
    </w:p>
    <w:p w14:paraId="343BEA6A" w14:textId="77777777" w:rsidR="007C2160" w:rsidRPr="00651B5D" w:rsidRDefault="007C2160">
      <w:pPr>
        <w:rPr>
          <w:rFonts w:cs="Times New Roman"/>
          <w:szCs w:val="24"/>
        </w:rPr>
      </w:pPr>
    </w:p>
    <w:p w14:paraId="799CC3F7" w14:textId="77777777" w:rsidR="00E04474" w:rsidRDefault="00E04474">
      <w:pPr>
        <w:rPr>
          <w:rFonts w:cs="Times New Roman"/>
          <w:szCs w:val="24"/>
        </w:rPr>
      </w:pPr>
    </w:p>
    <w:p w14:paraId="0E16C44F" w14:textId="77777777" w:rsidR="00646920" w:rsidRPr="00651B5D" w:rsidRDefault="00646920">
      <w:pPr>
        <w:rPr>
          <w:rFonts w:cs="Times New Roman"/>
          <w:szCs w:val="24"/>
        </w:rPr>
      </w:pPr>
    </w:p>
    <w:p w14:paraId="1A75BBA1" w14:textId="77777777" w:rsidR="001B17D4" w:rsidRPr="00651B5D" w:rsidRDefault="001B17D4" w:rsidP="001B17D4">
      <w:pPr>
        <w:jc w:val="center"/>
        <w:rPr>
          <w:rFonts w:cs="Times New Roman"/>
          <w:b/>
          <w:bCs/>
          <w:szCs w:val="24"/>
        </w:rPr>
      </w:pPr>
      <w:r w:rsidRPr="00651B5D">
        <w:rPr>
          <w:rFonts w:cs="Times New Roman"/>
          <w:b/>
          <w:bCs/>
          <w:szCs w:val="24"/>
        </w:rPr>
        <w:t>Author Note</w:t>
      </w:r>
    </w:p>
    <w:p w14:paraId="31ABDA6B" w14:textId="5EAF9292" w:rsidR="00646920" w:rsidRDefault="00324F64" w:rsidP="001B17D4">
      <w:pPr>
        <w:ind w:firstLine="720"/>
        <w:rPr>
          <w:rFonts w:cs="Times New Roman"/>
          <w:szCs w:val="24"/>
        </w:rPr>
      </w:pPr>
      <w:r>
        <w:rPr>
          <w:rFonts w:cs="Times New Roman"/>
          <w:szCs w:val="24"/>
        </w:rPr>
        <w:t xml:space="preserve">Vanessa Fung-Kee-Fung </w:t>
      </w:r>
    </w:p>
    <w:p w14:paraId="28E706ED" w14:textId="1096D969" w:rsidR="001B17D4" w:rsidRPr="00651B5D" w:rsidRDefault="001B17D4" w:rsidP="001B17D4">
      <w:pPr>
        <w:ind w:firstLine="720"/>
        <w:rPr>
          <w:rFonts w:cs="Times New Roman"/>
          <w:szCs w:val="24"/>
        </w:rPr>
      </w:pPr>
      <w:r w:rsidRPr="00651B5D">
        <w:rPr>
          <w:rFonts w:cs="Times New Roman"/>
          <w:szCs w:val="24"/>
        </w:rPr>
        <w:t>I have no known conflict of interest to disclose.</w:t>
      </w:r>
      <w:r w:rsidR="00C12D39">
        <w:rPr>
          <w:rFonts w:cs="Times New Roman"/>
          <w:szCs w:val="24"/>
        </w:rPr>
        <w:t xml:space="preserve"> </w:t>
      </w:r>
    </w:p>
    <w:p w14:paraId="1572F855" w14:textId="77777777" w:rsidR="00324F64" w:rsidRDefault="001B17D4" w:rsidP="00C46744">
      <w:pPr>
        <w:ind w:firstLine="720"/>
        <w:rPr>
          <w:rFonts w:cs="Times New Roman"/>
          <w:szCs w:val="24"/>
        </w:rPr>
      </w:pPr>
      <w:r w:rsidRPr="00651B5D">
        <w:rPr>
          <w:rFonts w:cs="Times New Roman"/>
          <w:szCs w:val="24"/>
        </w:rPr>
        <w:t xml:space="preserve">Correspondence concerning this article should be addressed to </w:t>
      </w:r>
      <w:r w:rsidR="00324F64">
        <w:rPr>
          <w:rFonts w:cs="Times New Roman"/>
          <w:szCs w:val="24"/>
        </w:rPr>
        <w:t>Vanessa Fung-Kee-Fung</w:t>
      </w:r>
      <w:r w:rsidR="00C46744">
        <w:rPr>
          <w:rFonts w:cs="Times New Roman"/>
          <w:szCs w:val="24"/>
        </w:rPr>
        <w:t>.</w:t>
      </w:r>
    </w:p>
    <w:p w14:paraId="42017396" w14:textId="12B8675D" w:rsidR="001B17D4" w:rsidRPr="00651B5D" w:rsidRDefault="00C46744" w:rsidP="00C46744">
      <w:pPr>
        <w:ind w:firstLine="720"/>
        <w:rPr>
          <w:rFonts w:cs="Times New Roman"/>
          <w:szCs w:val="24"/>
        </w:rPr>
      </w:pPr>
      <w:r>
        <w:rPr>
          <w:rFonts w:cs="Times New Roman"/>
          <w:szCs w:val="24"/>
        </w:rPr>
        <w:t xml:space="preserve"> </w:t>
      </w:r>
      <w:r w:rsidR="001B17D4" w:rsidRPr="00651B5D">
        <w:rPr>
          <w:rFonts w:cs="Times New Roman"/>
          <w:szCs w:val="24"/>
        </w:rPr>
        <w:t xml:space="preserve">Email: </w:t>
      </w:r>
      <w:r w:rsidR="00324F64">
        <w:t>vfungkeefung@libery.edu</w:t>
      </w:r>
    </w:p>
    <w:p w14:paraId="4CBC11E4" w14:textId="77777777" w:rsidR="00877EF8" w:rsidRPr="00651B5D" w:rsidRDefault="00E04474">
      <w:pPr>
        <w:rPr>
          <w:rFonts w:cs="Times New Roman"/>
          <w:szCs w:val="24"/>
        </w:rPr>
      </w:pPr>
      <w:r w:rsidRPr="00651B5D">
        <w:rPr>
          <w:rFonts w:cs="Times New Roman"/>
          <w:szCs w:val="24"/>
        </w:rPr>
        <w:br w:type="page"/>
      </w:r>
    </w:p>
    <w:p w14:paraId="66072DD8" w14:textId="77777777" w:rsidR="00E04474" w:rsidRPr="00651B5D" w:rsidRDefault="00E04474" w:rsidP="009901CA">
      <w:pPr>
        <w:pStyle w:val="Heading1"/>
      </w:pPr>
      <w:r w:rsidRPr="00651B5D">
        <w:lastRenderedPageBreak/>
        <w:t>Abstract</w:t>
      </w:r>
    </w:p>
    <w:p w14:paraId="3C76A564" w14:textId="065170E6" w:rsidR="005F3CDD" w:rsidRPr="0007438E" w:rsidRDefault="00EC4CFF" w:rsidP="005F3CDD">
      <w:pPr>
        <w:pStyle w:val="BodyText"/>
        <w:spacing w:line="480" w:lineRule="auto"/>
        <w:rPr>
          <w:iCs/>
          <w:sz w:val="24"/>
          <w:szCs w:val="24"/>
        </w:rPr>
      </w:pPr>
      <w:r w:rsidRPr="0007438E">
        <w:rPr>
          <w:iCs/>
          <w:sz w:val="24"/>
          <w:szCs w:val="24"/>
        </w:rPr>
        <w:t>Th</w:t>
      </w:r>
      <w:r w:rsidR="00C33EC9" w:rsidRPr="0007438E">
        <w:rPr>
          <w:iCs/>
          <w:sz w:val="24"/>
          <w:szCs w:val="24"/>
        </w:rPr>
        <w:t xml:space="preserve">e </w:t>
      </w:r>
      <w:r w:rsidRPr="0007438E">
        <w:rPr>
          <w:iCs/>
          <w:sz w:val="24"/>
          <w:szCs w:val="24"/>
        </w:rPr>
        <w:t>evaluation proposal present</w:t>
      </w:r>
      <w:r w:rsidR="00C33EC9" w:rsidRPr="0007438E">
        <w:rPr>
          <w:iCs/>
          <w:sz w:val="24"/>
          <w:szCs w:val="24"/>
        </w:rPr>
        <w:t>ed</w:t>
      </w:r>
      <w:r w:rsidRPr="0007438E">
        <w:rPr>
          <w:iCs/>
          <w:sz w:val="24"/>
          <w:szCs w:val="24"/>
        </w:rPr>
        <w:t xml:space="preserve"> a structural framework that targets the effectiveness and operational performance of the hospital pharmacy program at the regional healthcare facility, Hope Valley. Th</w:t>
      </w:r>
      <w:r w:rsidR="00C33EC9" w:rsidRPr="0007438E">
        <w:rPr>
          <w:iCs/>
          <w:sz w:val="24"/>
          <w:szCs w:val="24"/>
        </w:rPr>
        <w:t>e</w:t>
      </w:r>
      <w:r w:rsidRPr="0007438E">
        <w:rPr>
          <w:iCs/>
          <w:sz w:val="24"/>
          <w:szCs w:val="24"/>
        </w:rPr>
        <w:t xml:space="preserve"> proposal adopts an evaluative program with specific goals, including enhancing medication safety, improving the discharge process, supporting care delivery, and upgrading pharmacist workflow (Royse et al., 2016). Likewise, a mixed-methods design </w:t>
      </w:r>
      <w:r w:rsidR="0007438E" w:rsidRPr="0007438E">
        <w:rPr>
          <w:iCs/>
          <w:sz w:val="24"/>
          <w:szCs w:val="24"/>
        </w:rPr>
        <w:t>was</w:t>
      </w:r>
      <w:r w:rsidRPr="0007438E">
        <w:rPr>
          <w:iCs/>
          <w:sz w:val="24"/>
          <w:szCs w:val="24"/>
        </w:rPr>
        <w:t xml:space="preserve"> used to structure the evaluation, incorporating empirical studies and guided by the Consolidated Framework for Implementation Research (CFIR) (James et al., 2023). Moreover, the evaluation involve</w:t>
      </w:r>
      <w:r w:rsidR="0007438E" w:rsidRPr="0007438E">
        <w:rPr>
          <w:iCs/>
          <w:sz w:val="24"/>
          <w:szCs w:val="24"/>
        </w:rPr>
        <w:t>d</w:t>
      </w:r>
      <w:r w:rsidRPr="0007438E">
        <w:rPr>
          <w:iCs/>
          <w:sz w:val="24"/>
          <w:szCs w:val="24"/>
        </w:rPr>
        <w:t xml:space="preserve"> both process and outcome measures, including the tracking of Discharge Medicines Review (DMR) rates, pharmacist time distribution, patient satisfaction, medication error reduction, and ethical reasoning. Additional measures state</w:t>
      </w:r>
      <w:r w:rsidR="00E364B0" w:rsidRPr="0007438E">
        <w:rPr>
          <w:iCs/>
          <w:sz w:val="24"/>
          <w:szCs w:val="24"/>
        </w:rPr>
        <w:t>d</w:t>
      </w:r>
      <w:r w:rsidRPr="0007438E">
        <w:rPr>
          <w:iCs/>
          <w:sz w:val="24"/>
          <w:szCs w:val="24"/>
        </w:rPr>
        <w:t xml:space="preserve"> the pharmacist's clinical knowledge and the readability of the discharge materials. These key factors </w:t>
      </w:r>
      <w:r w:rsidR="0007438E" w:rsidRPr="0007438E">
        <w:rPr>
          <w:iCs/>
          <w:sz w:val="24"/>
          <w:szCs w:val="24"/>
        </w:rPr>
        <w:t>were</w:t>
      </w:r>
      <w:r w:rsidRPr="0007438E">
        <w:rPr>
          <w:iCs/>
          <w:sz w:val="24"/>
          <w:szCs w:val="24"/>
        </w:rPr>
        <w:t xml:space="preserve"> linked to the program's missions and objectives. The data w</w:t>
      </w:r>
      <w:r w:rsidR="003C16D0" w:rsidRPr="0007438E">
        <w:rPr>
          <w:iCs/>
          <w:sz w:val="24"/>
          <w:szCs w:val="24"/>
        </w:rPr>
        <w:t>as</w:t>
      </w:r>
      <w:r w:rsidRPr="0007438E">
        <w:rPr>
          <w:iCs/>
          <w:sz w:val="24"/>
          <w:szCs w:val="24"/>
        </w:rPr>
        <w:t xml:space="preserve"> collected using validated tools and analysis through the internal dashboards and external reporting systems. Each measurement </w:t>
      </w:r>
      <w:r w:rsidR="003C16D0" w:rsidRPr="0007438E">
        <w:rPr>
          <w:iCs/>
          <w:sz w:val="24"/>
          <w:szCs w:val="24"/>
        </w:rPr>
        <w:t>was</w:t>
      </w:r>
      <w:r w:rsidRPr="0007438E">
        <w:rPr>
          <w:iCs/>
          <w:sz w:val="24"/>
          <w:szCs w:val="24"/>
        </w:rPr>
        <w:t xml:space="preserve"> supported by peer-reviewed sources and shared through communication strategies between network members and stakeholders. Overall, the proposal</w:t>
      </w:r>
      <w:r w:rsidR="003C16D0" w:rsidRPr="0007438E">
        <w:rPr>
          <w:iCs/>
          <w:sz w:val="24"/>
          <w:szCs w:val="24"/>
        </w:rPr>
        <w:t xml:space="preserve"> has </w:t>
      </w:r>
      <w:r w:rsidRPr="0007438E">
        <w:rPr>
          <w:iCs/>
          <w:sz w:val="24"/>
          <w:szCs w:val="24"/>
        </w:rPr>
        <w:t>serve</w:t>
      </w:r>
      <w:r w:rsidR="003C16D0" w:rsidRPr="0007438E">
        <w:rPr>
          <w:iCs/>
          <w:sz w:val="24"/>
          <w:szCs w:val="24"/>
        </w:rPr>
        <w:t>d</w:t>
      </w:r>
      <w:r w:rsidRPr="0007438E">
        <w:rPr>
          <w:iCs/>
          <w:sz w:val="24"/>
          <w:szCs w:val="24"/>
        </w:rPr>
        <w:t xml:space="preserve"> as a foundation of data that provides ongoing information to help continue improvement and accountability in hospital pharmacy-based care.</w:t>
      </w:r>
    </w:p>
    <w:p w14:paraId="3EDBD199" w14:textId="27E5B140" w:rsidR="00EF61EA" w:rsidRPr="0007438E" w:rsidRDefault="00EF61EA" w:rsidP="00324F64">
      <w:pPr>
        <w:pStyle w:val="BodyText"/>
        <w:spacing w:line="480" w:lineRule="auto"/>
        <w:ind w:firstLine="720"/>
        <w:rPr>
          <w:sz w:val="24"/>
          <w:szCs w:val="24"/>
        </w:rPr>
        <w:sectPr w:rsidR="00EF61EA" w:rsidRPr="0007438E" w:rsidSect="00C12D39">
          <w:headerReference w:type="default" r:id="rId8"/>
          <w:footerReference w:type="default" r:id="rId9"/>
          <w:headerReference w:type="first" r:id="rId10"/>
          <w:footerReference w:type="first" r:id="rId11"/>
          <w:pgSz w:w="12240" w:h="15840"/>
          <w:pgMar w:top="1440" w:right="1440" w:bottom="1440" w:left="1440" w:header="720" w:footer="0" w:gutter="0"/>
          <w:pgNumType w:start="1"/>
          <w:cols w:space="720"/>
          <w:docGrid w:linePitch="326"/>
        </w:sectPr>
      </w:pPr>
      <w:r w:rsidRPr="0007438E">
        <w:rPr>
          <w:i/>
          <w:sz w:val="24"/>
          <w:szCs w:val="24"/>
        </w:rPr>
        <w:t>Keywords</w:t>
      </w:r>
      <w:r w:rsidRPr="0007438E">
        <w:rPr>
          <w:sz w:val="24"/>
          <w:szCs w:val="24"/>
        </w:rPr>
        <w:t xml:space="preserve">: </w:t>
      </w:r>
      <w:r w:rsidR="00324F64" w:rsidRPr="0007438E">
        <w:rPr>
          <w:sz w:val="24"/>
          <w:szCs w:val="24"/>
        </w:rPr>
        <w:t>hospital pharmacy, evaluation, medication safety, discharge medicines review, program design, CFIR</w:t>
      </w:r>
    </w:p>
    <w:p w14:paraId="1204C07D" w14:textId="5C6B93D8" w:rsidR="00EF61EA" w:rsidRPr="000A6112" w:rsidRDefault="00D971F4" w:rsidP="000A6112">
      <w:pPr>
        <w:pStyle w:val="BodyText"/>
        <w:spacing w:line="480" w:lineRule="auto"/>
        <w:jc w:val="center"/>
        <w:rPr>
          <w:rFonts w:eastAsiaTheme="majorEastAsia"/>
          <w:b/>
          <w:bCs/>
          <w:sz w:val="24"/>
          <w:szCs w:val="28"/>
        </w:rPr>
      </w:pPr>
      <w:r>
        <w:rPr>
          <w:rFonts w:eastAsiaTheme="majorEastAsia"/>
          <w:b/>
          <w:bCs/>
          <w:sz w:val="24"/>
          <w:szCs w:val="28"/>
        </w:rPr>
        <w:lastRenderedPageBreak/>
        <w:fldChar w:fldCharType="begin"/>
      </w:r>
      <w:r>
        <w:rPr>
          <w:rFonts w:eastAsiaTheme="majorEastAsia"/>
          <w:b/>
          <w:bCs/>
          <w:sz w:val="24"/>
          <w:szCs w:val="28"/>
        </w:rPr>
        <w:instrText xml:space="preserve"> MACROBUTTON  AcceptAllChangesInDoc </w:instrText>
      </w:r>
      <w:r>
        <w:rPr>
          <w:rFonts w:eastAsiaTheme="majorEastAsia"/>
          <w:b/>
          <w:bCs/>
          <w:sz w:val="24"/>
          <w:szCs w:val="28"/>
        </w:rPr>
        <w:fldChar w:fldCharType="end"/>
      </w:r>
      <w:r w:rsidR="00324F64">
        <w:rPr>
          <w:rFonts w:eastAsiaTheme="majorEastAsia"/>
          <w:b/>
          <w:bCs/>
          <w:sz w:val="24"/>
          <w:szCs w:val="28"/>
        </w:rPr>
        <w:t>Program Description</w:t>
      </w:r>
    </w:p>
    <w:p w14:paraId="5B593015" w14:textId="4EC12658" w:rsidR="005F3CDD" w:rsidRDefault="00895C88" w:rsidP="00895C88">
      <w:pPr>
        <w:rPr>
          <w:b/>
        </w:rPr>
      </w:pPr>
      <w:bookmarkStart w:id="0" w:name="_Toc529359668"/>
      <w:bookmarkStart w:id="1" w:name="_Toc529449460"/>
      <w:bookmarkStart w:id="2" w:name="_Toc31899674"/>
      <w:r w:rsidRPr="00895C88">
        <w:rPr>
          <w:b/>
        </w:rPr>
        <w:t>Hospital Pharmacy Context</w:t>
      </w:r>
    </w:p>
    <w:p w14:paraId="12C72A60" w14:textId="6E26FE5A" w:rsidR="00895C88" w:rsidRDefault="00895C88" w:rsidP="00895C88">
      <w:pPr>
        <w:rPr>
          <w:bCs/>
        </w:rPr>
      </w:pPr>
      <w:r>
        <w:rPr>
          <w:b/>
        </w:rPr>
        <w:tab/>
      </w:r>
      <w:r w:rsidRPr="00895C88">
        <w:rPr>
          <w:bCs/>
        </w:rPr>
        <w:t>The Hope Valley Regional Hospital pharmacy program serve</w:t>
      </w:r>
      <w:r w:rsidR="00C070C6">
        <w:rPr>
          <w:bCs/>
        </w:rPr>
        <w:t>d</w:t>
      </w:r>
      <w:r w:rsidRPr="00895C88">
        <w:rPr>
          <w:bCs/>
        </w:rPr>
        <w:t xml:space="preserve"> as the primary focus for medication management across different departments, including inpatient, surgical, and emergency care units. The program's primary goal </w:t>
      </w:r>
      <w:r w:rsidR="00C070C6">
        <w:rPr>
          <w:bCs/>
        </w:rPr>
        <w:t>was</w:t>
      </w:r>
      <w:r w:rsidRPr="00895C88">
        <w:rPr>
          <w:bCs/>
        </w:rPr>
        <w:t xml:space="preserve"> to make sure that patients </w:t>
      </w:r>
      <w:proofErr w:type="gramStart"/>
      <w:r w:rsidRPr="00895C88">
        <w:rPr>
          <w:bCs/>
        </w:rPr>
        <w:t>are able to</w:t>
      </w:r>
      <w:proofErr w:type="gramEnd"/>
      <w:r w:rsidRPr="00895C88">
        <w:rPr>
          <w:bCs/>
        </w:rPr>
        <w:t xml:space="preserve"> receive safe, timely, and effective pharmaceutical therapies as part of a holistic healthcare delivery model (Royse et al., 2016). In recent years, the pharmacy expanded its services to include discharge medication counseling, electronic health record integration, and collaborations with other local community pharmacies to support the development of care (</w:t>
      </w:r>
      <w:proofErr w:type="spellStart"/>
      <w:r w:rsidRPr="00895C88">
        <w:rPr>
          <w:bCs/>
        </w:rPr>
        <w:t>Murteira</w:t>
      </w:r>
      <w:proofErr w:type="spellEnd"/>
      <w:r w:rsidRPr="00895C88">
        <w:rPr>
          <w:bCs/>
        </w:rPr>
        <w:t xml:space="preserve"> et al., 2022). </w:t>
      </w:r>
      <w:r>
        <w:rPr>
          <w:bCs/>
        </w:rPr>
        <w:t xml:space="preserve">Recent evaluations of pharmacist services </w:t>
      </w:r>
      <w:r w:rsidR="00C070C6">
        <w:rPr>
          <w:bCs/>
        </w:rPr>
        <w:t>have</w:t>
      </w:r>
      <w:r>
        <w:rPr>
          <w:bCs/>
        </w:rPr>
        <w:t xml:space="preserve"> also </w:t>
      </w:r>
      <w:r w:rsidR="00C070C6">
        <w:rPr>
          <w:bCs/>
        </w:rPr>
        <w:t>supported</w:t>
      </w:r>
      <w:r>
        <w:rPr>
          <w:bCs/>
        </w:rPr>
        <w:t xml:space="preserve"> these expansions. For example, </w:t>
      </w:r>
      <w:proofErr w:type="spellStart"/>
      <w:r w:rsidRPr="00895C88">
        <w:rPr>
          <w:bCs/>
        </w:rPr>
        <w:t>Balayssac</w:t>
      </w:r>
      <w:proofErr w:type="spellEnd"/>
      <w:r w:rsidRPr="00895C88">
        <w:rPr>
          <w:bCs/>
        </w:rPr>
        <w:t xml:space="preserve"> et al. (2023)</w:t>
      </w:r>
      <w:r>
        <w:rPr>
          <w:bCs/>
        </w:rPr>
        <w:t xml:space="preserve"> used </w:t>
      </w:r>
      <w:proofErr w:type="gramStart"/>
      <w:r>
        <w:rPr>
          <w:bCs/>
        </w:rPr>
        <w:t>an improved</w:t>
      </w:r>
      <w:proofErr w:type="gramEnd"/>
      <w:r>
        <w:rPr>
          <w:bCs/>
        </w:rPr>
        <w:t xml:space="preserve"> patient satisfaction when the community pharmacist distributed oral anticancer medications. Another example </w:t>
      </w:r>
      <w:r w:rsidR="00C070C6">
        <w:rPr>
          <w:bCs/>
        </w:rPr>
        <w:t>was</w:t>
      </w:r>
      <w:r>
        <w:rPr>
          <w:bCs/>
        </w:rPr>
        <w:t xml:space="preserve"> supported by </w:t>
      </w:r>
      <w:r w:rsidRPr="00895C88">
        <w:rPr>
          <w:bCs/>
        </w:rPr>
        <w:t>Cornelissen et al. (2022</w:t>
      </w:r>
      <w:r>
        <w:rPr>
          <w:bCs/>
        </w:rPr>
        <w:t>), who confirmed that using a pharmaceutical discharge letter helps improve the communication between the hospitals and community pharmacists. These findings support</w:t>
      </w:r>
      <w:r w:rsidR="00C070C6">
        <w:rPr>
          <w:bCs/>
        </w:rPr>
        <w:t>ed</w:t>
      </w:r>
      <w:r>
        <w:rPr>
          <w:bCs/>
        </w:rPr>
        <w:t xml:space="preserve"> the </w:t>
      </w:r>
      <w:r w:rsidR="000D2D3E">
        <w:rPr>
          <w:bCs/>
        </w:rPr>
        <w:t xml:space="preserve">improvements of Hope Valley's evaluation proposal and how it can promote continuity of care. </w:t>
      </w:r>
    </w:p>
    <w:p w14:paraId="043EF0D4" w14:textId="52DFCF8B" w:rsidR="000D2D3E" w:rsidRDefault="000D2D3E" w:rsidP="00895C88">
      <w:pPr>
        <w:rPr>
          <w:b/>
        </w:rPr>
      </w:pPr>
      <w:r w:rsidRPr="000D2D3E">
        <w:rPr>
          <w:b/>
        </w:rPr>
        <w:t xml:space="preserve">Mission </w:t>
      </w:r>
    </w:p>
    <w:p w14:paraId="3609A2A8" w14:textId="040E92A6" w:rsidR="002E234D" w:rsidRDefault="000D2D3E" w:rsidP="000D2D3E">
      <w:pPr>
        <w:rPr>
          <w:bCs/>
        </w:rPr>
      </w:pPr>
      <w:r>
        <w:rPr>
          <w:b/>
        </w:rPr>
        <w:tab/>
      </w:r>
      <w:r>
        <w:rPr>
          <w:bCs/>
        </w:rPr>
        <w:t xml:space="preserve">The mission of the pharmacy program </w:t>
      </w:r>
      <w:r w:rsidR="00C070C6">
        <w:rPr>
          <w:bCs/>
        </w:rPr>
        <w:t>was</w:t>
      </w:r>
      <w:r>
        <w:rPr>
          <w:bCs/>
        </w:rPr>
        <w:t xml:space="preserve"> to promote medication safety and therapeutic goals by collaborating with two or more different professions, facilitating clinical improvement, and committing to evidence-based practices. Likewise, the vision provides for the proposal to position the pharmacy as a regional model for improvement in pharmaceutical services, including acknowledging and being transparent with others, as well as being responsive to patients' needs </w:t>
      </w:r>
      <w:r w:rsidRPr="00D70A32">
        <w:rPr>
          <w:bCs/>
        </w:rPr>
        <w:t>(</w:t>
      </w:r>
      <w:proofErr w:type="spellStart"/>
      <w:r w:rsidRPr="00D70A32">
        <w:rPr>
          <w:bCs/>
        </w:rPr>
        <w:t>Herledan</w:t>
      </w:r>
      <w:proofErr w:type="spellEnd"/>
      <w:r w:rsidRPr="00D70A32">
        <w:rPr>
          <w:bCs/>
        </w:rPr>
        <w:t xml:space="preserve"> et al., 2024)</w:t>
      </w:r>
      <w:r>
        <w:rPr>
          <w:bCs/>
        </w:rPr>
        <w:t xml:space="preserve">. </w:t>
      </w:r>
      <w:r>
        <w:rPr>
          <w:bCs/>
        </w:rPr>
        <w:tab/>
      </w:r>
    </w:p>
    <w:p w14:paraId="0118CA36" w14:textId="2F122574" w:rsidR="002E234D" w:rsidRDefault="002E234D" w:rsidP="000D2D3E">
      <w:pPr>
        <w:rPr>
          <w:bCs/>
        </w:rPr>
      </w:pPr>
      <w:r w:rsidRPr="002E234D">
        <w:rPr>
          <w:b/>
          <w:bCs/>
        </w:rPr>
        <w:lastRenderedPageBreak/>
        <w:t>Objectives</w:t>
      </w:r>
    </w:p>
    <w:p w14:paraId="413B3475" w14:textId="4ECDBB62" w:rsidR="002E234D" w:rsidRDefault="000D2D3E" w:rsidP="002E234D">
      <w:pPr>
        <w:ind w:firstLine="720"/>
        <w:rPr>
          <w:bCs/>
        </w:rPr>
      </w:pPr>
      <w:r w:rsidRPr="000D2D3E">
        <w:rPr>
          <w:bCs/>
        </w:rPr>
        <w:t>The objectives of the program</w:t>
      </w:r>
      <w:r w:rsidR="00294B0E">
        <w:rPr>
          <w:bCs/>
        </w:rPr>
        <w:t xml:space="preserve"> </w:t>
      </w:r>
      <w:proofErr w:type="gramStart"/>
      <w:r w:rsidR="00294B0E">
        <w:rPr>
          <w:bCs/>
        </w:rPr>
        <w:t>was</w:t>
      </w:r>
      <w:proofErr w:type="gramEnd"/>
      <w:r w:rsidR="00294B0E">
        <w:rPr>
          <w:bCs/>
        </w:rPr>
        <w:t xml:space="preserve"> to</w:t>
      </w:r>
      <w:r w:rsidRPr="000D2D3E">
        <w:rPr>
          <w:bCs/>
        </w:rPr>
        <w:t xml:space="preserve"> include reducing medication errors through improved work management with staff, increasing the rate and quality of Discharge Medication Reviews (DMRs), strengthening patient transitions to a community setting, measuring and adjusting the pharmacist's time allocation, improving accessibility to medications, strengthening pharmacist ethical decision-making, and improving discharge communication through clear and understandable materials.</w:t>
      </w:r>
      <w:r>
        <w:rPr>
          <w:bCs/>
        </w:rPr>
        <w:t xml:space="preserve"> </w:t>
      </w:r>
    </w:p>
    <w:p w14:paraId="06FA87E3" w14:textId="754B204D" w:rsidR="000D2D3E" w:rsidRDefault="000D2D3E" w:rsidP="002E234D">
      <w:pPr>
        <w:ind w:firstLine="720"/>
        <w:rPr>
          <w:bCs/>
        </w:rPr>
      </w:pPr>
      <w:r>
        <w:rPr>
          <w:bCs/>
        </w:rPr>
        <w:t xml:space="preserve">These objectives </w:t>
      </w:r>
      <w:r w:rsidR="00294B0E">
        <w:rPr>
          <w:bCs/>
        </w:rPr>
        <w:t>have</w:t>
      </w:r>
      <w:r>
        <w:rPr>
          <w:bCs/>
        </w:rPr>
        <w:t xml:space="preserve"> </w:t>
      </w:r>
      <w:r w:rsidR="00294B0E">
        <w:rPr>
          <w:bCs/>
        </w:rPr>
        <w:t xml:space="preserve">been </w:t>
      </w:r>
      <w:r>
        <w:rPr>
          <w:bCs/>
        </w:rPr>
        <w:t xml:space="preserve">supported by empirical studies. For example, </w:t>
      </w:r>
      <w:r w:rsidRPr="000D2D3E">
        <w:rPr>
          <w:bCs/>
        </w:rPr>
        <w:t xml:space="preserve">Cossette et al. (2021) </w:t>
      </w:r>
      <w:r>
        <w:rPr>
          <w:bCs/>
        </w:rPr>
        <w:t xml:space="preserve">supported the effectiveness of the pharmacist interventions in reducing hospital readmissions. Likewise, </w:t>
      </w:r>
      <w:r w:rsidRPr="000D2D3E">
        <w:rPr>
          <w:bCs/>
        </w:rPr>
        <w:t>McCleery et al. (2024</w:t>
      </w:r>
      <w:r>
        <w:rPr>
          <w:bCs/>
        </w:rPr>
        <w:t xml:space="preserve">) and </w:t>
      </w:r>
      <w:r w:rsidRPr="000D2D3E">
        <w:rPr>
          <w:bCs/>
        </w:rPr>
        <w:t>Zheng et al. (2022)</w:t>
      </w:r>
      <w:r>
        <w:rPr>
          <w:bCs/>
        </w:rPr>
        <w:t xml:space="preserve"> support the value of ethical reasoning in improving the pharmacist's decision-making and support the clarity of counter medication instructions in discharge materials. However, </w:t>
      </w:r>
      <w:proofErr w:type="spellStart"/>
      <w:r w:rsidRPr="000D2D3E">
        <w:rPr>
          <w:bCs/>
        </w:rPr>
        <w:t>Alshouli</w:t>
      </w:r>
      <w:proofErr w:type="spellEnd"/>
      <w:r w:rsidRPr="000D2D3E">
        <w:rPr>
          <w:bCs/>
        </w:rPr>
        <w:t xml:space="preserve"> et al. (2024)</w:t>
      </w:r>
      <w:r>
        <w:rPr>
          <w:bCs/>
        </w:rPr>
        <w:t xml:space="preserve"> and </w:t>
      </w:r>
      <w:r w:rsidRPr="000D2D3E">
        <w:rPr>
          <w:bCs/>
        </w:rPr>
        <w:t>Liu et al. (2021)</w:t>
      </w:r>
      <w:r>
        <w:rPr>
          <w:bCs/>
        </w:rPr>
        <w:t xml:space="preserve"> found gaps within these objectives</w:t>
      </w:r>
      <w:r w:rsidR="00556D24">
        <w:rPr>
          <w:bCs/>
        </w:rPr>
        <w:t xml:space="preserve"> and</w:t>
      </w:r>
      <w:r>
        <w:rPr>
          <w:bCs/>
        </w:rPr>
        <w:t xml:space="preserve"> stat</w:t>
      </w:r>
      <w:r w:rsidR="00556D24">
        <w:rPr>
          <w:bCs/>
        </w:rPr>
        <w:t>ed</w:t>
      </w:r>
      <w:r>
        <w:rPr>
          <w:bCs/>
        </w:rPr>
        <w:t xml:space="preserve"> that there </w:t>
      </w:r>
      <w:r w:rsidR="00556D24">
        <w:rPr>
          <w:bCs/>
        </w:rPr>
        <w:t>was</w:t>
      </w:r>
      <w:r>
        <w:rPr>
          <w:bCs/>
        </w:rPr>
        <w:t xml:space="preserve"> a need for education for pharmacists </w:t>
      </w:r>
      <w:r w:rsidR="002E234D">
        <w:rPr>
          <w:bCs/>
        </w:rPr>
        <w:t>due to the lack of knowledge presented on pain management.</w:t>
      </w:r>
    </w:p>
    <w:p w14:paraId="385ABD90" w14:textId="1B49FBC9" w:rsidR="002E234D" w:rsidRDefault="002E234D" w:rsidP="002E234D">
      <w:pPr>
        <w:rPr>
          <w:b/>
        </w:rPr>
      </w:pPr>
      <w:r w:rsidRPr="002E234D">
        <w:rPr>
          <w:b/>
        </w:rPr>
        <w:t>Network Members</w:t>
      </w:r>
    </w:p>
    <w:p w14:paraId="6D991FE0" w14:textId="39A9F89A" w:rsidR="002E234D" w:rsidRPr="002E234D" w:rsidRDefault="002E234D" w:rsidP="002E234D">
      <w:pPr>
        <w:pStyle w:val="NormalWeb"/>
        <w:rPr>
          <w:rFonts w:eastAsia="Times New Roman"/>
          <w:bCs/>
        </w:rPr>
      </w:pPr>
      <w:r>
        <w:rPr>
          <w:b/>
        </w:rPr>
        <w:tab/>
      </w:r>
      <w:r w:rsidRPr="002E234D">
        <w:rPr>
          <w:rFonts w:eastAsia="Times New Roman"/>
        </w:rPr>
        <w:t>Moreover, the network members include</w:t>
      </w:r>
      <w:r w:rsidR="00FB2F5B">
        <w:rPr>
          <w:rFonts w:eastAsia="Times New Roman"/>
        </w:rPr>
        <w:t>d</w:t>
      </w:r>
      <w:r w:rsidRPr="002E234D">
        <w:rPr>
          <w:rFonts w:eastAsia="Times New Roman"/>
        </w:rPr>
        <w:t xml:space="preserve"> licensed pharmacy technicians, discharge planning coordinators, case managers, and members of the electronic health records (EHR) team.</w:t>
      </w:r>
      <w:r>
        <w:rPr>
          <w:rFonts w:eastAsia="Times New Roman"/>
        </w:rPr>
        <w:t xml:space="preserve"> The extended network </w:t>
      </w:r>
      <w:r w:rsidR="00FB2F5B">
        <w:rPr>
          <w:rFonts w:eastAsia="Times New Roman"/>
        </w:rPr>
        <w:t>had</w:t>
      </w:r>
      <w:r>
        <w:rPr>
          <w:rFonts w:eastAsia="Times New Roman"/>
        </w:rPr>
        <w:t xml:space="preserve"> also</w:t>
      </w:r>
      <w:r w:rsidR="00FB2F5B">
        <w:rPr>
          <w:rFonts w:eastAsia="Times New Roman"/>
        </w:rPr>
        <w:t xml:space="preserve"> </w:t>
      </w:r>
      <w:r>
        <w:rPr>
          <w:rFonts w:eastAsia="Times New Roman"/>
        </w:rPr>
        <w:t>include</w:t>
      </w:r>
      <w:r w:rsidR="00FB2F5B">
        <w:rPr>
          <w:rFonts w:eastAsia="Times New Roman"/>
        </w:rPr>
        <w:t>d</w:t>
      </w:r>
      <w:r>
        <w:rPr>
          <w:rFonts w:eastAsia="Times New Roman"/>
        </w:rPr>
        <w:t xml:space="preserve"> the local community pharmacist who contribute</w:t>
      </w:r>
      <w:r w:rsidR="00FB2F5B">
        <w:rPr>
          <w:rFonts w:eastAsia="Times New Roman"/>
        </w:rPr>
        <w:t xml:space="preserve">d </w:t>
      </w:r>
      <w:r>
        <w:rPr>
          <w:rFonts w:eastAsia="Times New Roman"/>
        </w:rPr>
        <w:t>to medication continuity and the discharge handoff process (</w:t>
      </w:r>
      <w:r w:rsidRPr="002E234D">
        <w:rPr>
          <w:rFonts w:eastAsia="Times New Roman"/>
        </w:rPr>
        <w:t>Cornelissen et al., 2022)</w:t>
      </w:r>
      <w:r>
        <w:rPr>
          <w:rFonts w:eastAsia="Times New Roman"/>
        </w:rPr>
        <w:t xml:space="preserve">. </w:t>
      </w:r>
      <w:r w:rsidRPr="002E234D">
        <w:rPr>
          <w:rFonts w:eastAsia="Times New Roman"/>
          <w:bCs/>
        </w:rPr>
        <w:t xml:space="preserve">As a result, the team provided quality hospital leadership and assurance to the proposal (Ji et al., 2023). Similarly, through the team's collaboration, the staff collectively identified challenges and medication agreement processes, which helped confirm that the quality assurance </w:t>
      </w:r>
      <w:r w:rsidR="00BD367A">
        <w:rPr>
          <w:rFonts w:eastAsia="Times New Roman"/>
          <w:bCs/>
        </w:rPr>
        <w:t>was</w:t>
      </w:r>
      <w:r w:rsidRPr="002E234D">
        <w:rPr>
          <w:rFonts w:eastAsia="Times New Roman"/>
          <w:bCs/>
        </w:rPr>
        <w:t xml:space="preserve"> measured, especially during public health crises such as the COVID-19 pandemic (James et al., 2023).</w:t>
      </w:r>
    </w:p>
    <w:p w14:paraId="242AE4D9" w14:textId="09C46B30" w:rsidR="002E234D" w:rsidRDefault="00654529" w:rsidP="00654529">
      <w:pPr>
        <w:pStyle w:val="NormalWeb"/>
        <w:jc w:val="center"/>
        <w:rPr>
          <w:rFonts w:eastAsia="Times New Roman"/>
          <w:b/>
          <w:bCs/>
        </w:rPr>
      </w:pPr>
      <w:r w:rsidRPr="00654529">
        <w:rPr>
          <w:rFonts w:eastAsia="Times New Roman"/>
          <w:b/>
          <w:bCs/>
        </w:rPr>
        <w:lastRenderedPageBreak/>
        <w:t>Evaluation Design</w:t>
      </w:r>
    </w:p>
    <w:p w14:paraId="6B589892" w14:textId="5D401A1C" w:rsidR="00654529" w:rsidRDefault="00ED3695" w:rsidP="00654529">
      <w:pPr>
        <w:pStyle w:val="NormalWeb"/>
        <w:rPr>
          <w:rFonts w:eastAsia="Times New Roman"/>
          <w:b/>
          <w:bCs/>
        </w:rPr>
      </w:pPr>
      <w:r>
        <w:rPr>
          <w:rFonts w:eastAsia="Times New Roman"/>
          <w:b/>
          <w:bCs/>
        </w:rPr>
        <w:t>Evaluation Propose</w:t>
      </w:r>
    </w:p>
    <w:p w14:paraId="658E078F" w14:textId="1E1EED2E" w:rsidR="00F56E9C" w:rsidRPr="00802379" w:rsidRDefault="00802379" w:rsidP="00802379">
      <w:pPr>
        <w:pStyle w:val="NormalWeb"/>
        <w:ind w:firstLine="720"/>
        <w:rPr>
          <w:rFonts w:eastAsia="Times New Roman"/>
        </w:rPr>
      </w:pPr>
      <w:r w:rsidRPr="00802379">
        <w:rPr>
          <w:rFonts w:eastAsia="Times New Roman"/>
        </w:rPr>
        <w:t xml:space="preserve">The purpose of the evaluation </w:t>
      </w:r>
      <w:r w:rsidR="0077481F">
        <w:rPr>
          <w:rFonts w:eastAsia="Times New Roman"/>
        </w:rPr>
        <w:t>was</w:t>
      </w:r>
      <w:r w:rsidRPr="00802379">
        <w:rPr>
          <w:rFonts w:eastAsia="Times New Roman"/>
        </w:rPr>
        <w:t xml:space="preserve"> to estimate how practical a hospital pharmacy program can achieve its stated goals. The evaluation focuses on how pharmacy services support medication safety, reduce readmissions, improve discharge care, enhance education, and increase medication accessibility. These goals </w:t>
      </w:r>
      <w:r w:rsidR="0077481F">
        <w:rPr>
          <w:rFonts w:eastAsia="Times New Roman"/>
        </w:rPr>
        <w:t>were</w:t>
      </w:r>
      <w:r w:rsidRPr="00802379">
        <w:rPr>
          <w:rFonts w:eastAsia="Times New Roman"/>
        </w:rPr>
        <w:t xml:space="preserve"> applied through both formative and summative strategies to provide ongoing feedback from the staff and patients for program refinement and long-term planning (Royse et al., 2016).</w:t>
      </w:r>
    </w:p>
    <w:p w14:paraId="4482CCE8" w14:textId="0BEBAB6A" w:rsidR="008D0D0A" w:rsidRPr="001240F6" w:rsidRDefault="008D0D0A" w:rsidP="00F56E9C">
      <w:pPr>
        <w:pStyle w:val="NormalWeb"/>
        <w:rPr>
          <w:rFonts w:eastAsia="Times New Roman"/>
          <w:b/>
          <w:bCs/>
        </w:rPr>
      </w:pPr>
      <w:r w:rsidRPr="001240F6">
        <w:rPr>
          <w:rFonts w:eastAsia="Times New Roman"/>
          <w:b/>
          <w:bCs/>
        </w:rPr>
        <w:t>Mixed-Methods Approach</w:t>
      </w:r>
    </w:p>
    <w:p w14:paraId="07BEA7E4" w14:textId="4BDA50D8" w:rsidR="00CD6054" w:rsidRPr="00CD6054" w:rsidRDefault="00CD6054" w:rsidP="00802379">
      <w:pPr>
        <w:pStyle w:val="NormalWeb"/>
        <w:ind w:firstLine="720"/>
        <w:rPr>
          <w:rFonts w:eastAsia="Times New Roman"/>
        </w:rPr>
      </w:pPr>
      <w:r w:rsidRPr="00CD6054">
        <w:rPr>
          <w:rFonts w:eastAsia="Times New Roman"/>
        </w:rPr>
        <w:t xml:space="preserve">A mixed-methods design </w:t>
      </w:r>
      <w:r w:rsidR="0077481F">
        <w:rPr>
          <w:rFonts w:eastAsia="Times New Roman"/>
        </w:rPr>
        <w:t>was</w:t>
      </w:r>
      <w:r w:rsidRPr="00CD6054">
        <w:rPr>
          <w:rFonts w:eastAsia="Times New Roman"/>
        </w:rPr>
        <w:t xml:space="preserve"> chosen for th</w:t>
      </w:r>
      <w:r w:rsidR="0077481F">
        <w:rPr>
          <w:rFonts w:eastAsia="Times New Roman"/>
        </w:rPr>
        <w:t>e</w:t>
      </w:r>
      <w:r w:rsidRPr="00CD6054">
        <w:rPr>
          <w:rFonts w:eastAsia="Times New Roman"/>
        </w:rPr>
        <w:t xml:space="preserve"> proposal to provide both quantitative and qualitative data. The quantitative data </w:t>
      </w:r>
      <w:r w:rsidR="00496CC4" w:rsidRPr="00CD6054">
        <w:rPr>
          <w:rFonts w:eastAsia="Times New Roman"/>
        </w:rPr>
        <w:t>include</w:t>
      </w:r>
      <w:r w:rsidR="00496CC4">
        <w:rPr>
          <w:rFonts w:eastAsia="Times New Roman"/>
        </w:rPr>
        <w:t>d</w:t>
      </w:r>
      <w:r w:rsidRPr="00CD6054">
        <w:rPr>
          <w:rFonts w:eastAsia="Times New Roman"/>
        </w:rPr>
        <w:t xml:space="preserve"> </w:t>
      </w:r>
      <w:proofErr w:type="gramStart"/>
      <w:r w:rsidRPr="00CD6054">
        <w:rPr>
          <w:rFonts w:eastAsia="Times New Roman"/>
        </w:rPr>
        <w:t>the statistical</w:t>
      </w:r>
      <w:proofErr w:type="gramEnd"/>
      <w:r w:rsidRPr="00CD6054">
        <w:rPr>
          <w:rFonts w:eastAsia="Times New Roman"/>
        </w:rPr>
        <w:t xml:space="preserve"> information on DMR completion rates, pharmacist time logs, medication error tracking systems, discharge summary records, and measures of ethical reasoning (James et al., 2023). Qualitative data </w:t>
      </w:r>
      <w:proofErr w:type="gramStart"/>
      <w:r w:rsidR="00496CC4">
        <w:rPr>
          <w:rFonts w:eastAsia="Times New Roman"/>
        </w:rPr>
        <w:t>were</w:t>
      </w:r>
      <w:proofErr w:type="gramEnd"/>
      <w:r w:rsidRPr="00CD6054">
        <w:rPr>
          <w:rFonts w:eastAsia="Times New Roman"/>
        </w:rPr>
        <w:t xml:space="preserve"> collected through structured interviews with pharmacists, administrative staff, and discharged patients. Since the qualitative data c</w:t>
      </w:r>
      <w:r w:rsidR="007E341D">
        <w:rPr>
          <w:rFonts w:eastAsia="Times New Roman"/>
        </w:rPr>
        <w:t>ould</w:t>
      </w:r>
      <w:r w:rsidRPr="00CD6054">
        <w:rPr>
          <w:rFonts w:eastAsia="Times New Roman"/>
        </w:rPr>
        <w:t xml:space="preserve"> help provide feedback from the pharmacy staff, it c</w:t>
      </w:r>
      <w:r w:rsidR="007E341D">
        <w:rPr>
          <w:rFonts w:eastAsia="Times New Roman"/>
        </w:rPr>
        <w:t>ould</w:t>
      </w:r>
      <w:r w:rsidRPr="00CD6054">
        <w:rPr>
          <w:rFonts w:eastAsia="Times New Roman"/>
        </w:rPr>
        <w:t xml:space="preserve"> potentially strengthen the discharge communications (Cornelissen et al., 2022). These interviews provide information about personal experiences and help point out the strengths and limitations within current discharge procedures.</w:t>
      </w:r>
    </w:p>
    <w:p w14:paraId="24D62B4E" w14:textId="52AA6F90" w:rsidR="00F848D3" w:rsidRPr="00CD6054" w:rsidRDefault="00CD6054" w:rsidP="00F848D3">
      <w:pPr>
        <w:pStyle w:val="NormalWeb"/>
        <w:rPr>
          <w:rFonts w:eastAsia="Times New Roman"/>
        </w:rPr>
      </w:pPr>
      <w:r w:rsidRPr="00CD6054">
        <w:rPr>
          <w:rFonts w:eastAsia="Times New Roman"/>
        </w:rPr>
        <w:t xml:space="preserve">            The use of mixed methods </w:t>
      </w:r>
      <w:r w:rsidR="0096593F">
        <w:rPr>
          <w:rFonts w:eastAsia="Times New Roman"/>
        </w:rPr>
        <w:t>was</w:t>
      </w:r>
      <w:r w:rsidRPr="00CD6054">
        <w:rPr>
          <w:rFonts w:eastAsia="Times New Roman"/>
        </w:rPr>
        <w:t xml:space="preserve"> supported by empirical studies. For example, Ogilvie et al. (2022) found that collaborating with pharmacists led to better patient outcomes than standard medical prescribing, time tracking, and workflow assessments. Newham et al. (2023) state</w:t>
      </w:r>
      <w:r w:rsidR="007E341D">
        <w:rPr>
          <w:rFonts w:eastAsia="Times New Roman"/>
        </w:rPr>
        <w:t>d</w:t>
      </w:r>
      <w:r w:rsidRPr="00CD6054">
        <w:rPr>
          <w:rFonts w:eastAsia="Times New Roman"/>
        </w:rPr>
        <w:t xml:space="preserve"> that stakeholders hold an important role in defining measurable outcomes by supporting the participants' interviews. Lastly, McCleery et al.'s (2024) study demonstrated that case surveys </w:t>
      </w:r>
      <w:r w:rsidRPr="00CD6054">
        <w:rPr>
          <w:rFonts w:eastAsia="Times New Roman"/>
        </w:rPr>
        <w:lastRenderedPageBreak/>
        <w:t>can be used to assess ethical reasoning among pharmacists. Overall, the empirical studies' interviews support this evaluation as part of the qualitative instrument design.</w:t>
      </w:r>
    </w:p>
    <w:p w14:paraId="2567AF8F" w14:textId="77777777" w:rsidR="00254777" w:rsidRPr="00254777" w:rsidRDefault="00254777" w:rsidP="00254777">
      <w:pPr>
        <w:pStyle w:val="NormalWeb"/>
        <w:rPr>
          <w:rFonts w:eastAsia="Times New Roman"/>
          <w:b/>
        </w:rPr>
      </w:pPr>
      <w:r w:rsidRPr="00254777">
        <w:rPr>
          <w:rFonts w:eastAsia="Times New Roman"/>
          <w:b/>
        </w:rPr>
        <w:t>Theoretical Framework</w:t>
      </w:r>
    </w:p>
    <w:p w14:paraId="2E6BA7F3" w14:textId="2DCDB258" w:rsidR="001E4FEA" w:rsidRPr="001E4FEA" w:rsidRDefault="001E4FEA" w:rsidP="00802379">
      <w:pPr>
        <w:pStyle w:val="NormalWeb"/>
        <w:ind w:firstLine="720"/>
        <w:rPr>
          <w:rFonts w:eastAsia="Times New Roman"/>
          <w:bCs/>
        </w:rPr>
      </w:pPr>
      <w:r w:rsidRPr="001E4FEA">
        <w:rPr>
          <w:rFonts w:eastAsia="Times New Roman"/>
          <w:bCs/>
        </w:rPr>
        <w:t xml:space="preserve">The evaluation </w:t>
      </w:r>
      <w:r w:rsidR="007E341D">
        <w:rPr>
          <w:rFonts w:eastAsia="Times New Roman"/>
          <w:bCs/>
        </w:rPr>
        <w:t>was</w:t>
      </w:r>
      <w:r w:rsidRPr="001E4FEA">
        <w:rPr>
          <w:rFonts w:eastAsia="Times New Roman"/>
          <w:bCs/>
        </w:rPr>
        <w:t xml:space="preserve"> structured using the Consolidated Framework for Implementation Research (CFIR), which helps guide the evaluation framework by providing internal and external areas that </w:t>
      </w:r>
      <w:r w:rsidR="007E341D">
        <w:rPr>
          <w:rFonts w:eastAsia="Times New Roman"/>
          <w:bCs/>
        </w:rPr>
        <w:t>could</w:t>
      </w:r>
      <w:r w:rsidRPr="001E4FEA">
        <w:rPr>
          <w:rFonts w:eastAsia="Times New Roman"/>
          <w:bCs/>
        </w:rPr>
        <w:t xml:space="preserve"> influence the program's success. CFIR models provide</w:t>
      </w:r>
      <w:r w:rsidR="007E341D">
        <w:rPr>
          <w:rFonts w:eastAsia="Times New Roman"/>
          <w:bCs/>
        </w:rPr>
        <w:t>d</w:t>
      </w:r>
      <w:r w:rsidRPr="001E4FEA">
        <w:rPr>
          <w:rFonts w:eastAsia="Times New Roman"/>
          <w:bCs/>
        </w:rPr>
        <w:t xml:space="preserve"> different ways to analyze the intervention characteristics, such as the inner setting, individual characteristics, and process of implementation (James et al., 2023). These frameworks c</w:t>
      </w:r>
      <w:r w:rsidR="007E341D">
        <w:rPr>
          <w:rFonts w:eastAsia="Times New Roman"/>
          <w:bCs/>
        </w:rPr>
        <w:t>ould</w:t>
      </w:r>
      <w:r w:rsidRPr="001E4FEA">
        <w:rPr>
          <w:rFonts w:eastAsia="Times New Roman"/>
          <w:bCs/>
        </w:rPr>
        <w:t xml:space="preserve"> help guide the interpretation of the collective data and support understanding of why certain pharmacy practices succeed or need improvement.</w:t>
      </w:r>
    </w:p>
    <w:p w14:paraId="711657F3" w14:textId="4B023302" w:rsidR="004C781D" w:rsidRPr="00254777" w:rsidRDefault="004C781D" w:rsidP="00254777">
      <w:pPr>
        <w:pStyle w:val="NormalWeb"/>
        <w:rPr>
          <w:rFonts w:eastAsia="Times New Roman"/>
          <w:b/>
        </w:rPr>
      </w:pPr>
      <w:r w:rsidRPr="004C781D">
        <w:rPr>
          <w:rFonts w:eastAsia="Times New Roman"/>
          <w:b/>
        </w:rPr>
        <w:t>Innovation and Practical Implications</w:t>
      </w:r>
    </w:p>
    <w:p w14:paraId="651DA5E0" w14:textId="72B646F2" w:rsidR="00201D96" w:rsidRPr="00201D96" w:rsidRDefault="00201D96" w:rsidP="00802379">
      <w:pPr>
        <w:pStyle w:val="NormalWeb"/>
        <w:ind w:firstLine="720"/>
        <w:rPr>
          <w:rFonts w:eastAsia="Times New Roman"/>
        </w:rPr>
      </w:pPr>
      <w:r w:rsidRPr="00201D96">
        <w:rPr>
          <w:rFonts w:eastAsia="Times New Roman"/>
        </w:rPr>
        <w:t xml:space="preserve">The need for innovation in pharmacy hospital programs' approach </w:t>
      </w:r>
      <w:r w:rsidR="00E27B0C">
        <w:rPr>
          <w:rFonts w:eastAsia="Times New Roman"/>
        </w:rPr>
        <w:t>was</w:t>
      </w:r>
      <w:r w:rsidRPr="00201D96">
        <w:rPr>
          <w:rFonts w:eastAsia="Times New Roman"/>
        </w:rPr>
        <w:t xml:space="preserve"> well-supported throughout empirical studies. Hospitals around the world are facing an increased complication in patient care transitions. However, this affects not only the hospital staff but also the pharmacists, as it is required to maintain medication safety and prevent errors. </w:t>
      </w:r>
      <w:proofErr w:type="spellStart"/>
      <w:r w:rsidRPr="00201D96">
        <w:rPr>
          <w:rFonts w:eastAsia="Times New Roman"/>
        </w:rPr>
        <w:t>Herledan</w:t>
      </w:r>
      <w:proofErr w:type="spellEnd"/>
      <w:r w:rsidRPr="00201D96">
        <w:rPr>
          <w:rFonts w:eastAsia="Times New Roman"/>
        </w:rPr>
        <w:t xml:space="preserve"> et al.'s (2024) study showed that older adults with chronic conditions benefit from the improved pharmaceutical care models, which are relevant for Hope Valley's aging patient population. Likewise, pharmacists can navigate their main priorities in fast-paced hospital environments, which c</w:t>
      </w:r>
      <w:r w:rsidR="00E27B0C">
        <w:rPr>
          <w:rFonts w:eastAsia="Times New Roman"/>
        </w:rPr>
        <w:t>ould</w:t>
      </w:r>
      <w:r w:rsidRPr="00201D96">
        <w:rPr>
          <w:rFonts w:eastAsia="Times New Roman"/>
        </w:rPr>
        <w:t xml:space="preserve"> impact patient-centered care delivery. This shows that there </w:t>
      </w:r>
      <w:r w:rsidR="00E27B0C">
        <w:rPr>
          <w:rFonts w:eastAsia="Times New Roman"/>
        </w:rPr>
        <w:t>was</w:t>
      </w:r>
      <w:r w:rsidRPr="00201D96">
        <w:rPr>
          <w:rFonts w:eastAsia="Times New Roman"/>
        </w:rPr>
        <w:t xml:space="preserve"> a need for efficiency-oriented program evaluation to determine how pharmacist time is distributed and how workflows c</w:t>
      </w:r>
      <w:r w:rsidR="00E27B0C">
        <w:rPr>
          <w:rFonts w:eastAsia="Times New Roman"/>
        </w:rPr>
        <w:t>ould</w:t>
      </w:r>
      <w:r w:rsidRPr="00201D96">
        <w:rPr>
          <w:rFonts w:eastAsia="Times New Roman"/>
        </w:rPr>
        <w:t xml:space="preserve"> be managed (</w:t>
      </w:r>
      <w:proofErr w:type="spellStart"/>
      <w:r w:rsidRPr="00201D96">
        <w:rPr>
          <w:rFonts w:eastAsia="Times New Roman"/>
        </w:rPr>
        <w:t>Havnes</w:t>
      </w:r>
      <w:proofErr w:type="spellEnd"/>
      <w:r w:rsidRPr="00201D96">
        <w:rPr>
          <w:rFonts w:eastAsia="Times New Roman"/>
        </w:rPr>
        <w:t xml:space="preserve"> et al., 2021).</w:t>
      </w:r>
    </w:p>
    <w:p w14:paraId="3D717D7C" w14:textId="5BDF1876" w:rsidR="00201D96" w:rsidRPr="00201D96" w:rsidRDefault="00201D96" w:rsidP="00201D96">
      <w:pPr>
        <w:pStyle w:val="NormalWeb"/>
        <w:rPr>
          <w:rFonts w:eastAsia="Times New Roman"/>
        </w:rPr>
      </w:pPr>
      <w:r w:rsidRPr="00201D96">
        <w:rPr>
          <w:rFonts w:eastAsia="Times New Roman"/>
        </w:rPr>
        <w:t xml:space="preserve">            </w:t>
      </w:r>
      <w:proofErr w:type="spellStart"/>
      <w:r w:rsidRPr="00201D96">
        <w:rPr>
          <w:rFonts w:eastAsia="Times New Roman"/>
        </w:rPr>
        <w:t>Telepharmacy</w:t>
      </w:r>
      <w:proofErr w:type="spellEnd"/>
      <w:r w:rsidRPr="00201D96">
        <w:rPr>
          <w:rFonts w:eastAsia="Times New Roman"/>
        </w:rPr>
        <w:t xml:space="preserve"> and remote monitoring </w:t>
      </w:r>
      <w:r w:rsidR="00E27B0C">
        <w:rPr>
          <w:rFonts w:eastAsia="Times New Roman"/>
        </w:rPr>
        <w:t xml:space="preserve">were </w:t>
      </w:r>
      <w:r w:rsidRPr="00201D96">
        <w:rPr>
          <w:rFonts w:eastAsia="Times New Roman"/>
        </w:rPr>
        <w:t>other innovative tools that c</w:t>
      </w:r>
      <w:r w:rsidR="00E27B0C">
        <w:rPr>
          <w:rFonts w:eastAsia="Times New Roman"/>
        </w:rPr>
        <w:t>ould</w:t>
      </w:r>
      <w:r w:rsidRPr="00201D96">
        <w:rPr>
          <w:rFonts w:eastAsia="Times New Roman"/>
        </w:rPr>
        <w:t xml:space="preserve"> be integrated into the program in both rural and urban healthcare systems. Ji et al.'s (2023) study show</w:t>
      </w:r>
      <w:r w:rsidR="00E27B0C">
        <w:rPr>
          <w:rFonts w:eastAsia="Times New Roman"/>
        </w:rPr>
        <w:t>ed</w:t>
      </w:r>
      <w:r w:rsidRPr="00201D96">
        <w:rPr>
          <w:rFonts w:eastAsia="Times New Roman"/>
        </w:rPr>
        <w:t xml:space="preserve"> how </w:t>
      </w:r>
      <w:r w:rsidRPr="00201D96">
        <w:rPr>
          <w:rFonts w:eastAsia="Times New Roman"/>
        </w:rPr>
        <w:lastRenderedPageBreak/>
        <w:t>remote monitoring c</w:t>
      </w:r>
      <w:r w:rsidR="00E27B0C">
        <w:rPr>
          <w:rFonts w:eastAsia="Times New Roman"/>
        </w:rPr>
        <w:t>ould</w:t>
      </w:r>
      <w:r w:rsidRPr="00201D96">
        <w:rPr>
          <w:rFonts w:eastAsia="Times New Roman"/>
        </w:rPr>
        <w:t xml:space="preserve"> help support health services in providing medication care and follow-ups during the COVID-19 pandemic. These strategies not only maintained continuity of care but also helped the staff understand the need for post-discharge medication management at Hope Valley. Moreover, Cerqueira et al. (2023) suggest that involving community pharmacy feedback in the program evaluations c</w:t>
      </w:r>
      <w:r w:rsidR="00751B35">
        <w:rPr>
          <w:rFonts w:eastAsia="Times New Roman"/>
        </w:rPr>
        <w:t>ould</w:t>
      </w:r>
      <w:r w:rsidRPr="00201D96">
        <w:rPr>
          <w:rFonts w:eastAsia="Times New Roman"/>
        </w:rPr>
        <w:t xml:space="preserve"> help improve hospital pharmacy communication flow, which c</w:t>
      </w:r>
      <w:r w:rsidR="00751B35">
        <w:rPr>
          <w:rFonts w:eastAsia="Times New Roman"/>
        </w:rPr>
        <w:t>ould</w:t>
      </w:r>
      <w:r w:rsidRPr="00201D96">
        <w:rPr>
          <w:rFonts w:eastAsia="Times New Roman"/>
        </w:rPr>
        <w:t xml:space="preserve"> be supported through Hope Valley's extended network. </w:t>
      </w:r>
    </w:p>
    <w:p w14:paraId="45E7C23B" w14:textId="55699706" w:rsidR="00201D96" w:rsidRPr="00201D96" w:rsidRDefault="00201D96" w:rsidP="00201D96">
      <w:pPr>
        <w:pStyle w:val="NormalWeb"/>
        <w:rPr>
          <w:rFonts w:eastAsia="Times New Roman"/>
        </w:rPr>
      </w:pPr>
      <w:r w:rsidRPr="00201D96">
        <w:rPr>
          <w:rFonts w:eastAsia="Times New Roman"/>
        </w:rPr>
        <w:t>            Another innovation involve</w:t>
      </w:r>
      <w:r w:rsidR="00751B35">
        <w:rPr>
          <w:rFonts w:eastAsia="Times New Roman"/>
        </w:rPr>
        <w:t>d</w:t>
      </w:r>
      <w:r w:rsidRPr="00201D96">
        <w:rPr>
          <w:rFonts w:eastAsia="Times New Roman"/>
        </w:rPr>
        <w:t xml:space="preserve"> the </w:t>
      </w:r>
      <w:r w:rsidR="00751B35" w:rsidRPr="00201D96">
        <w:rPr>
          <w:rFonts w:eastAsia="Times New Roman"/>
        </w:rPr>
        <w:t>us</w:t>
      </w:r>
      <w:r w:rsidR="00751B35">
        <w:rPr>
          <w:rFonts w:eastAsia="Times New Roman"/>
        </w:rPr>
        <w:t>e</w:t>
      </w:r>
      <w:r w:rsidRPr="00201D96">
        <w:rPr>
          <w:rFonts w:eastAsia="Times New Roman"/>
        </w:rPr>
        <w:t xml:space="preserve"> of dashboards and analytics within the pharmacy setting. Green et al.'s (2024) study show</w:t>
      </w:r>
      <w:r w:rsidR="00701F3E">
        <w:rPr>
          <w:rFonts w:eastAsia="Times New Roman"/>
        </w:rPr>
        <w:t xml:space="preserve">ed </w:t>
      </w:r>
      <w:r w:rsidRPr="00201D96">
        <w:rPr>
          <w:rFonts w:eastAsia="Times New Roman"/>
        </w:rPr>
        <w:t>that using visual data representations c</w:t>
      </w:r>
      <w:r w:rsidR="00701F3E">
        <w:rPr>
          <w:rFonts w:eastAsia="Times New Roman"/>
        </w:rPr>
        <w:t>ould</w:t>
      </w:r>
      <w:r w:rsidRPr="00201D96">
        <w:rPr>
          <w:rFonts w:eastAsia="Times New Roman"/>
        </w:rPr>
        <w:t xml:space="preserve"> help improve the understanding of trends and areas for targeted intervention. These measurements are increasingly used throughout the program to inform pharmacist performance reviews, medication acceptance practices, and team-based learning. Likewise, digital dashboards </w:t>
      </w:r>
      <w:r w:rsidR="00701F3E">
        <w:rPr>
          <w:rFonts w:eastAsia="Times New Roman"/>
        </w:rPr>
        <w:t>were</w:t>
      </w:r>
      <w:r w:rsidRPr="00201D96">
        <w:rPr>
          <w:rFonts w:eastAsia="Times New Roman"/>
        </w:rPr>
        <w:t xml:space="preserve"> used in th</w:t>
      </w:r>
      <w:r w:rsidR="00701F3E">
        <w:rPr>
          <w:rFonts w:eastAsia="Times New Roman"/>
        </w:rPr>
        <w:t>e</w:t>
      </w:r>
      <w:r w:rsidRPr="00201D96">
        <w:rPr>
          <w:rFonts w:eastAsia="Times New Roman"/>
        </w:rPr>
        <w:t xml:space="preserve"> evaluation to support timely communication among various teams, which includes the real-time monitoring of the pharmacist's performance and discharge procedures. This c</w:t>
      </w:r>
      <w:r w:rsidR="00701F3E">
        <w:rPr>
          <w:rFonts w:eastAsia="Times New Roman"/>
        </w:rPr>
        <w:t>ould</w:t>
      </w:r>
      <w:r w:rsidRPr="00201D96">
        <w:rPr>
          <w:rFonts w:eastAsia="Times New Roman"/>
        </w:rPr>
        <w:t xml:space="preserve"> benefit the program evaluation for Hope Valley by incorporating both the visual dashboards and digital innovation, which c</w:t>
      </w:r>
      <w:r w:rsidR="00701F3E">
        <w:rPr>
          <w:rFonts w:eastAsia="Times New Roman"/>
        </w:rPr>
        <w:t>ould</w:t>
      </w:r>
      <w:r w:rsidRPr="00201D96">
        <w:rPr>
          <w:rFonts w:eastAsia="Times New Roman"/>
        </w:rPr>
        <w:t xml:space="preserve"> result in a successful evaluation. </w:t>
      </w:r>
    </w:p>
    <w:p w14:paraId="67133683" w14:textId="7AE46508" w:rsidR="00201D96" w:rsidRPr="00201D96" w:rsidRDefault="00201D96" w:rsidP="00201D96">
      <w:pPr>
        <w:pStyle w:val="NormalWeb"/>
        <w:rPr>
          <w:rFonts w:eastAsia="Times New Roman"/>
        </w:rPr>
      </w:pPr>
      <w:r w:rsidRPr="00201D96">
        <w:rPr>
          <w:rFonts w:eastAsia="Times New Roman"/>
        </w:rPr>
        <w:t>            Finally, the recent empirical studies of innovation within the hospital pharmacy evaluation c</w:t>
      </w:r>
      <w:r w:rsidR="00701F3E">
        <w:rPr>
          <w:rFonts w:eastAsia="Times New Roman"/>
        </w:rPr>
        <w:t>ould</w:t>
      </w:r>
      <w:r w:rsidRPr="00201D96">
        <w:rPr>
          <w:rFonts w:eastAsia="Times New Roman"/>
        </w:rPr>
        <w:t xml:space="preserve"> reinforce the understanding of the program's design. Ogilvie et al. (2022) use</w:t>
      </w:r>
      <w:r w:rsidR="00701F3E">
        <w:rPr>
          <w:rFonts w:eastAsia="Times New Roman"/>
        </w:rPr>
        <w:t>d</w:t>
      </w:r>
      <w:r w:rsidRPr="00201D96">
        <w:rPr>
          <w:rFonts w:eastAsia="Times New Roman"/>
        </w:rPr>
        <w:t xml:space="preserve"> </w:t>
      </w:r>
      <w:proofErr w:type="gramStart"/>
      <w:r w:rsidRPr="00201D96">
        <w:rPr>
          <w:rFonts w:eastAsia="Times New Roman"/>
        </w:rPr>
        <w:t>the collaborative</w:t>
      </w:r>
      <w:proofErr w:type="gramEnd"/>
      <w:r w:rsidRPr="00201D96">
        <w:rPr>
          <w:rFonts w:eastAsia="Times New Roman"/>
        </w:rPr>
        <w:t xml:space="preserve"> pharmacist models to help enhance the clinical effectiveness of the hospitals, supporting the evaluation, time-tracking, and DMR measurements. Newham et al. (2023) promote</w:t>
      </w:r>
      <w:r w:rsidR="00701F3E">
        <w:rPr>
          <w:rFonts w:eastAsia="Times New Roman"/>
        </w:rPr>
        <w:t>d</w:t>
      </w:r>
      <w:r w:rsidRPr="00201D96">
        <w:rPr>
          <w:rFonts w:eastAsia="Times New Roman"/>
        </w:rPr>
        <w:t xml:space="preserve"> the inclusion of stakeholder engagement methods such as the nominal group technique, which c</w:t>
      </w:r>
      <w:r w:rsidR="00701F3E">
        <w:rPr>
          <w:rFonts w:eastAsia="Times New Roman"/>
        </w:rPr>
        <w:t>ould</w:t>
      </w:r>
      <w:r w:rsidRPr="00201D96">
        <w:rPr>
          <w:rFonts w:eastAsia="Times New Roman"/>
        </w:rPr>
        <w:t xml:space="preserve"> provide feedback in the pharmacy evaluation program. Likewise, Cornelissen et al. (2022) studies show</w:t>
      </w:r>
      <w:r w:rsidR="00701F3E">
        <w:rPr>
          <w:rFonts w:eastAsia="Times New Roman"/>
        </w:rPr>
        <w:t xml:space="preserve">ed </w:t>
      </w:r>
      <w:r w:rsidRPr="00201D96">
        <w:rPr>
          <w:rFonts w:eastAsia="Times New Roman"/>
        </w:rPr>
        <w:t>that using validated discharge tools c</w:t>
      </w:r>
      <w:r w:rsidR="00701F3E">
        <w:rPr>
          <w:rFonts w:eastAsia="Times New Roman"/>
        </w:rPr>
        <w:t>ould</w:t>
      </w:r>
      <w:r w:rsidRPr="00201D96">
        <w:rPr>
          <w:rFonts w:eastAsia="Times New Roman"/>
        </w:rPr>
        <w:t xml:space="preserve"> improve the evaluation program by implementing medication with the help of the staff. Furthermore, through </w:t>
      </w:r>
      <w:r w:rsidRPr="00201D96">
        <w:rPr>
          <w:rFonts w:eastAsia="Times New Roman"/>
        </w:rPr>
        <w:lastRenderedPageBreak/>
        <w:t>ethical workshops or meetings, the program c</w:t>
      </w:r>
      <w:r w:rsidR="00701F3E">
        <w:rPr>
          <w:rFonts w:eastAsia="Times New Roman"/>
        </w:rPr>
        <w:t>ould</w:t>
      </w:r>
      <w:r w:rsidRPr="00201D96">
        <w:rPr>
          <w:rFonts w:eastAsia="Times New Roman"/>
        </w:rPr>
        <w:t xml:space="preserve"> have</w:t>
      </w:r>
      <w:r w:rsidR="00701F3E">
        <w:rPr>
          <w:rFonts w:eastAsia="Times New Roman"/>
        </w:rPr>
        <w:t xml:space="preserve"> </w:t>
      </w:r>
      <w:r w:rsidR="00B6677A">
        <w:rPr>
          <w:rFonts w:eastAsia="Times New Roman"/>
        </w:rPr>
        <w:t>had</w:t>
      </w:r>
      <w:r w:rsidRPr="00201D96">
        <w:rPr>
          <w:rFonts w:eastAsia="Times New Roman"/>
        </w:rPr>
        <w:t xml:space="preserve"> a measurable impact on decision-making with pharmacist training (McCleery et al., 2024).</w:t>
      </w:r>
    </w:p>
    <w:p w14:paraId="2B495F27" w14:textId="237781FD" w:rsidR="00F069E1" w:rsidRDefault="00201D96" w:rsidP="00201D96">
      <w:pPr>
        <w:pStyle w:val="NormalWeb"/>
        <w:ind w:firstLine="720"/>
        <w:rPr>
          <w:bCs/>
        </w:rPr>
      </w:pPr>
      <w:r w:rsidRPr="00201D96">
        <w:rPr>
          <w:rFonts w:eastAsia="Times New Roman"/>
        </w:rPr>
        <w:t>In summary, using these resources c</w:t>
      </w:r>
      <w:r w:rsidR="00701F3E">
        <w:rPr>
          <w:rFonts w:eastAsia="Times New Roman"/>
        </w:rPr>
        <w:t>ould</w:t>
      </w:r>
      <w:r w:rsidRPr="00201D96">
        <w:rPr>
          <w:rFonts w:eastAsia="Times New Roman"/>
        </w:rPr>
        <w:t xml:space="preserve"> help lead to a successful pharmacy service model that </w:t>
      </w:r>
      <w:proofErr w:type="gramStart"/>
      <w:r w:rsidRPr="00201D96">
        <w:rPr>
          <w:rFonts w:eastAsia="Times New Roman"/>
        </w:rPr>
        <w:t>connects with</w:t>
      </w:r>
      <w:proofErr w:type="gramEnd"/>
      <w:r w:rsidRPr="00201D96">
        <w:rPr>
          <w:rFonts w:eastAsia="Times New Roman"/>
        </w:rPr>
        <w:t xml:space="preserve"> both hospital goals and patient-centered care values. Integrating these materials into the proposed evaluation framework c</w:t>
      </w:r>
      <w:r w:rsidR="00701F3E">
        <w:rPr>
          <w:rFonts w:eastAsia="Times New Roman"/>
        </w:rPr>
        <w:t>ould</w:t>
      </w:r>
      <w:r w:rsidRPr="00201D96">
        <w:rPr>
          <w:rFonts w:eastAsia="Times New Roman"/>
        </w:rPr>
        <w:t xml:space="preserve"> benefit the service delivery and </w:t>
      </w:r>
      <w:proofErr w:type="gramStart"/>
      <w:r w:rsidRPr="00201D96">
        <w:rPr>
          <w:rFonts w:eastAsia="Times New Roman"/>
        </w:rPr>
        <w:t>outcomes</w:t>
      </w:r>
      <w:r w:rsidR="00B6677A">
        <w:rPr>
          <w:rFonts w:eastAsia="Times New Roman"/>
        </w:rPr>
        <w:t>,</w:t>
      </w:r>
      <w:r w:rsidRPr="00201D96">
        <w:rPr>
          <w:rFonts w:eastAsia="Times New Roman"/>
        </w:rPr>
        <w:t xml:space="preserve"> and</w:t>
      </w:r>
      <w:proofErr w:type="gramEnd"/>
      <w:r w:rsidRPr="00201D96">
        <w:rPr>
          <w:rFonts w:eastAsia="Times New Roman"/>
        </w:rPr>
        <w:t xml:space="preserve"> </w:t>
      </w:r>
      <w:r w:rsidR="00B6677A" w:rsidRPr="00201D96">
        <w:rPr>
          <w:rFonts w:eastAsia="Times New Roman"/>
        </w:rPr>
        <w:t>establish</w:t>
      </w:r>
      <w:r w:rsidRPr="00201D96">
        <w:rPr>
          <w:rFonts w:eastAsia="Times New Roman"/>
        </w:rPr>
        <w:t xml:space="preserve"> Hope Valley's program as a model of innovation and collaboration.</w:t>
      </w:r>
    </w:p>
    <w:p w14:paraId="575B7CF0" w14:textId="1268F795" w:rsidR="00592018" w:rsidRDefault="006947C5" w:rsidP="006947C5">
      <w:pPr>
        <w:jc w:val="center"/>
        <w:rPr>
          <w:b/>
        </w:rPr>
      </w:pPr>
      <w:r>
        <w:rPr>
          <w:b/>
        </w:rPr>
        <w:t>P</w:t>
      </w:r>
      <w:r w:rsidR="00DD68DB" w:rsidRPr="00DD68DB">
        <w:rPr>
          <w:b/>
        </w:rPr>
        <w:t>lan to Measure Key Data</w:t>
      </w:r>
    </w:p>
    <w:p w14:paraId="69473C77" w14:textId="7B1B99C3" w:rsidR="006947C5" w:rsidRDefault="006947C5" w:rsidP="00DD68DB">
      <w:pPr>
        <w:rPr>
          <w:b/>
        </w:rPr>
      </w:pPr>
      <w:r>
        <w:rPr>
          <w:b/>
        </w:rPr>
        <w:t>Overview</w:t>
      </w:r>
    </w:p>
    <w:p w14:paraId="0F47658A" w14:textId="40123A86" w:rsidR="0090797D" w:rsidRDefault="006947C5" w:rsidP="0090797D">
      <w:pPr>
        <w:rPr>
          <w:bCs/>
        </w:rPr>
      </w:pPr>
      <w:r>
        <w:rPr>
          <w:b/>
        </w:rPr>
        <w:tab/>
      </w:r>
      <w:r w:rsidR="006D6538" w:rsidRPr="006D6538">
        <w:rPr>
          <w:bCs/>
        </w:rPr>
        <w:t>The evaluation include</w:t>
      </w:r>
      <w:r w:rsidR="00B6677A">
        <w:rPr>
          <w:bCs/>
        </w:rPr>
        <w:t>d</w:t>
      </w:r>
      <w:r w:rsidR="006D6538" w:rsidRPr="006D6538">
        <w:rPr>
          <w:bCs/>
        </w:rPr>
        <w:t xml:space="preserve"> both process and outcome measurements that connect with the hospital pharmacy goals of improving medication safety, strengthening transitions of care, and increasing the effectiveness of pharmacy staff. The selected measurement tools </w:t>
      </w:r>
      <w:r w:rsidR="00581495">
        <w:rPr>
          <w:bCs/>
        </w:rPr>
        <w:t>were</w:t>
      </w:r>
      <w:r w:rsidR="006D6538" w:rsidRPr="006D6538">
        <w:rPr>
          <w:bCs/>
        </w:rPr>
        <w:t xml:space="preserve"> supported by empirical evidence and implications, ensuring their validity, reliability, and practical application in hospital pharmacy settings. Green et al.'s (2025) study provide</w:t>
      </w:r>
      <w:r w:rsidR="00581495">
        <w:rPr>
          <w:bCs/>
        </w:rPr>
        <w:t>d</w:t>
      </w:r>
      <w:r w:rsidR="006D6538" w:rsidRPr="006D6538">
        <w:rPr>
          <w:bCs/>
        </w:rPr>
        <w:t xml:space="preserve"> evidence that having a measurement tool c</w:t>
      </w:r>
      <w:r w:rsidR="00581495">
        <w:rPr>
          <w:bCs/>
        </w:rPr>
        <w:t>ould</w:t>
      </w:r>
      <w:r w:rsidR="006D6538" w:rsidRPr="006D6538">
        <w:rPr>
          <w:bCs/>
        </w:rPr>
        <w:t xml:space="preserve"> ensure that the evaluation is accurate and actionable. At the same time, Cerqueira et al. (2023) informed that practicality was used to focus on the implementation of the evaluation process. Together, these findings informed decision-making and led to improvements in hospital pharmacy services.</w:t>
      </w:r>
    </w:p>
    <w:p w14:paraId="2F6A07FE" w14:textId="31B8EFB4" w:rsidR="0090797D" w:rsidRDefault="0090797D" w:rsidP="00E57132">
      <w:pPr>
        <w:rPr>
          <w:b/>
        </w:rPr>
      </w:pPr>
      <w:r w:rsidRPr="0090797D">
        <w:rPr>
          <w:b/>
        </w:rPr>
        <w:t>Process Measures</w:t>
      </w:r>
    </w:p>
    <w:p w14:paraId="421C1E6C" w14:textId="05F340F8" w:rsidR="0090797D" w:rsidRPr="00E57132" w:rsidRDefault="00732422" w:rsidP="0090797D">
      <w:pPr>
        <w:rPr>
          <w:b/>
          <w:i/>
          <w:iCs/>
        </w:rPr>
      </w:pPr>
      <w:r w:rsidRPr="00E57132">
        <w:rPr>
          <w:b/>
          <w:i/>
          <w:iCs/>
        </w:rPr>
        <w:t>DMR Completion Rate</w:t>
      </w:r>
    </w:p>
    <w:p w14:paraId="4C6A6143" w14:textId="0ACA0E3A" w:rsidR="00370B6F" w:rsidRPr="00E64BFC" w:rsidRDefault="002E51C7" w:rsidP="00370B6F">
      <w:pPr>
        <w:rPr>
          <w:bCs/>
        </w:rPr>
      </w:pPr>
      <w:r>
        <w:rPr>
          <w:b/>
        </w:rPr>
        <w:tab/>
      </w:r>
      <w:r w:rsidR="00E64BFC" w:rsidRPr="00E64BFC">
        <w:rPr>
          <w:bCs/>
        </w:rPr>
        <w:t xml:space="preserve">The data </w:t>
      </w:r>
      <w:r w:rsidR="00581495">
        <w:rPr>
          <w:bCs/>
        </w:rPr>
        <w:t>were</w:t>
      </w:r>
      <w:r w:rsidR="00E64BFC" w:rsidRPr="00E64BFC">
        <w:rPr>
          <w:bCs/>
        </w:rPr>
        <w:t xml:space="preserve"> collected from the electronic health record (EHR) system, where each Discharge Medicines Review (DMR) </w:t>
      </w:r>
      <w:r w:rsidR="00F86920">
        <w:rPr>
          <w:bCs/>
        </w:rPr>
        <w:t>would</w:t>
      </w:r>
      <w:r w:rsidR="00E64BFC" w:rsidRPr="00E64BFC">
        <w:rPr>
          <w:bCs/>
        </w:rPr>
        <w:t xml:space="preserve"> automatically </w:t>
      </w:r>
      <w:r w:rsidR="00F86920">
        <w:rPr>
          <w:bCs/>
        </w:rPr>
        <w:t xml:space="preserve">be </w:t>
      </w:r>
      <w:r w:rsidR="00E64BFC" w:rsidRPr="00E64BFC">
        <w:rPr>
          <w:bCs/>
        </w:rPr>
        <w:t>logged with a timestamp and patient ID. Through this process, the completion rates w</w:t>
      </w:r>
      <w:r w:rsidR="00F86920">
        <w:rPr>
          <w:bCs/>
        </w:rPr>
        <w:t>ere</w:t>
      </w:r>
      <w:r w:rsidR="00E64BFC" w:rsidRPr="00E64BFC">
        <w:rPr>
          <w:bCs/>
        </w:rPr>
        <w:t xml:space="preserve"> </w:t>
      </w:r>
      <w:r w:rsidR="00F86920" w:rsidRPr="00E64BFC">
        <w:rPr>
          <w:bCs/>
        </w:rPr>
        <w:t>analyzed</w:t>
      </w:r>
      <w:r w:rsidR="00E64BFC" w:rsidRPr="00E64BFC">
        <w:rPr>
          <w:bCs/>
        </w:rPr>
        <w:t xml:space="preserve"> weekly to make sure the </w:t>
      </w:r>
      <w:r w:rsidR="00E64BFC" w:rsidRPr="00E64BFC">
        <w:rPr>
          <w:bCs/>
        </w:rPr>
        <w:lastRenderedPageBreak/>
        <w:t xml:space="preserve">time is followed through on medication clarification. This metric tool shows how consistently pharmacists conduct DMRs, which </w:t>
      </w:r>
      <w:r w:rsidR="00F86920">
        <w:rPr>
          <w:bCs/>
        </w:rPr>
        <w:t>is</w:t>
      </w:r>
      <w:r w:rsidR="00E64BFC" w:rsidRPr="00E64BFC">
        <w:rPr>
          <w:bCs/>
        </w:rPr>
        <w:t xml:space="preserve"> important to ensure safe transitions (Green et al., 2024)</w:t>
      </w:r>
      <w:r w:rsidR="00E64BFC">
        <w:rPr>
          <w:bCs/>
        </w:rPr>
        <w:t>.</w:t>
      </w:r>
    </w:p>
    <w:p w14:paraId="31F95115" w14:textId="6050C545" w:rsidR="007C3A9C" w:rsidRDefault="00E57132" w:rsidP="00370B6F">
      <w:pPr>
        <w:rPr>
          <w:b/>
          <w:i/>
          <w:iCs/>
        </w:rPr>
      </w:pPr>
      <w:r w:rsidRPr="00E57132">
        <w:rPr>
          <w:b/>
          <w:i/>
          <w:iCs/>
        </w:rPr>
        <w:t>Pharmacist Time Allocation</w:t>
      </w:r>
      <w:r w:rsidR="007C3A9C">
        <w:rPr>
          <w:b/>
          <w:i/>
          <w:iCs/>
        </w:rPr>
        <w:tab/>
      </w:r>
    </w:p>
    <w:p w14:paraId="12C0A59E" w14:textId="6EEF2A2D" w:rsidR="00C53FC4" w:rsidRDefault="00E64BFC" w:rsidP="00C53FC4">
      <w:pPr>
        <w:ind w:firstLine="720"/>
        <w:rPr>
          <w:bCs/>
        </w:rPr>
      </w:pPr>
      <w:r w:rsidRPr="00E64BFC">
        <w:rPr>
          <w:bCs/>
        </w:rPr>
        <w:t xml:space="preserve">Time-tracking software </w:t>
      </w:r>
      <w:r w:rsidR="00B25559">
        <w:rPr>
          <w:bCs/>
        </w:rPr>
        <w:t>was also</w:t>
      </w:r>
      <w:r w:rsidRPr="00E64BFC">
        <w:rPr>
          <w:bCs/>
        </w:rPr>
        <w:t xml:space="preserve"> used to log pharmacists' activity across clinical, administrative, and counseling duties. Pharmacists will then enter time blocks in real-time or when their shift ends. This data is then used to collect the </w:t>
      </w:r>
      <w:proofErr w:type="gramStart"/>
      <w:r w:rsidRPr="00E64BFC">
        <w:rPr>
          <w:bCs/>
        </w:rPr>
        <w:t>times</w:t>
      </w:r>
      <w:proofErr w:type="gramEnd"/>
      <w:r w:rsidRPr="00E64BFC">
        <w:rPr>
          <w:bCs/>
        </w:rPr>
        <w:t xml:space="preserve"> spent on workflow analysis. Likewise, the strategy is supported by </w:t>
      </w:r>
      <w:proofErr w:type="spellStart"/>
      <w:r w:rsidRPr="00E64BFC">
        <w:rPr>
          <w:bCs/>
        </w:rPr>
        <w:t>Herledan</w:t>
      </w:r>
      <w:proofErr w:type="spellEnd"/>
      <w:r w:rsidRPr="00E64BFC">
        <w:rPr>
          <w:bCs/>
        </w:rPr>
        <w:t xml:space="preserve"> et al. (2024), who reported that spending a great deal of time on clinical care can </w:t>
      </w:r>
      <w:proofErr w:type="gramStart"/>
      <w:r w:rsidRPr="00E64BFC">
        <w:rPr>
          <w:bCs/>
        </w:rPr>
        <w:t>be connected with</w:t>
      </w:r>
      <w:proofErr w:type="gramEnd"/>
      <w:r w:rsidRPr="00E64BFC">
        <w:rPr>
          <w:bCs/>
        </w:rPr>
        <w:t xml:space="preserve"> better patient outcomes. Moreover, </w:t>
      </w:r>
      <w:proofErr w:type="spellStart"/>
      <w:r w:rsidRPr="00E64BFC">
        <w:rPr>
          <w:bCs/>
        </w:rPr>
        <w:t>Havnes</w:t>
      </w:r>
      <w:proofErr w:type="spellEnd"/>
      <w:r w:rsidRPr="00E64BFC">
        <w:rPr>
          <w:bCs/>
        </w:rPr>
        <w:t xml:space="preserve"> et al. (2021) used time-motion analysis to confirm that it is a reliable method for evaluating clinical workflow in a pharmaceutical setting.</w:t>
      </w:r>
    </w:p>
    <w:p w14:paraId="1B51EBC7" w14:textId="023FF191" w:rsidR="00DD53FB" w:rsidRDefault="00DD53FB" w:rsidP="00DD53FB">
      <w:pPr>
        <w:rPr>
          <w:bCs/>
          <w:i/>
          <w:iCs/>
        </w:rPr>
      </w:pPr>
      <w:r w:rsidRPr="00DD53FB">
        <w:rPr>
          <w:b/>
          <w:bCs/>
          <w:i/>
          <w:iCs/>
        </w:rPr>
        <w:t>Medication Handoff to Community Pharmacy</w:t>
      </w:r>
      <w:r>
        <w:rPr>
          <w:bCs/>
          <w:i/>
          <w:iCs/>
        </w:rPr>
        <w:t xml:space="preserve"> </w:t>
      </w:r>
    </w:p>
    <w:p w14:paraId="60DCC271" w14:textId="0FED1E80" w:rsidR="00EF294D" w:rsidRDefault="00EF294D" w:rsidP="00EF294D">
      <w:pPr>
        <w:ind w:firstLine="720"/>
        <w:rPr>
          <w:bCs/>
        </w:rPr>
      </w:pPr>
      <w:r w:rsidRPr="00EF294D">
        <w:rPr>
          <w:bCs/>
        </w:rPr>
        <w:t xml:space="preserve">EHR logs and pharmacy discharge letters </w:t>
      </w:r>
      <w:r w:rsidR="00B25559">
        <w:rPr>
          <w:bCs/>
        </w:rPr>
        <w:t>were</w:t>
      </w:r>
      <w:r w:rsidRPr="00EF294D">
        <w:rPr>
          <w:bCs/>
        </w:rPr>
        <w:t xml:space="preserve"> reviewed to understand whether medication lists </w:t>
      </w:r>
      <w:r w:rsidR="00356B0A">
        <w:rPr>
          <w:bCs/>
        </w:rPr>
        <w:t>were</w:t>
      </w:r>
      <w:r w:rsidRPr="00EF294D">
        <w:rPr>
          <w:bCs/>
        </w:rPr>
        <w:t xml:space="preserve"> successfully transferred to community partners within 48 hours of discharge. Two empirical studies c</w:t>
      </w:r>
      <w:r w:rsidR="00356B0A">
        <w:rPr>
          <w:bCs/>
        </w:rPr>
        <w:t>ould</w:t>
      </w:r>
      <w:r w:rsidRPr="00EF294D">
        <w:rPr>
          <w:bCs/>
        </w:rPr>
        <w:t xml:space="preserve"> support this tool. Cornelissen et al. (2022) used this tool by providing pharmaceutical discharge letters that can significantly improve pharmacy communication. Similarly, </w:t>
      </w:r>
      <w:proofErr w:type="spellStart"/>
      <w:r w:rsidRPr="00EF294D">
        <w:rPr>
          <w:bCs/>
        </w:rPr>
        <w:t>Murteira</w:t>
      </w:r>
      <w:proofErr w:type="spellEnd"/>
      <w:r w:rsidRPr="00EF294D">
        <w:rPr>
          <w:bCs/>
        </w:rPr>
        <w:t xml:space="preserve"> et al. (2022) state</w:t>
      </w:r>
      <w:r w:rsidR="00356B0A">
        <w:rPr>
          <w:bCs/>
        </w:rPr>
        <w:t>d</w:t>
      </w:r>
      <w:r w:rsidRPr="00EF294D">
        <w:rPr>
          <w:bCs/>
        </w:rPr>
        <w:t xml:space="preserve"> that having successful handoffs c</w:t>
      </w:r>
      <w:r w:rsidR="00356B0A">
        <w:rPr>
          <w:bCs/>
        </w:rPr>
        <w:t xml:space="preserve">ould </w:t>
      </w:r>
      <w:r w:rsidRPr="00EF294D">
        <w:rPr>
          <w:bCs/>
        </w:rPr>
        <w:t>correlate with improved medication understanding and patient outcomes.</w:t>
      </w:r>
    </w:p>
    <w:p w14:paraId="2BE70F9D" w14:textId="7ED23233" w:rsidR="00BE7DC3" w:rsidRDefault="00BE7DC3" w:rsidP="00EF294D">
      <w:pPr>
        <w:rPr>
          <w:b/>
        </w:rPr>
      </w:pPr>
      <w:r w:rsidRPr="00BE7DC3">
        <w:rPr>
          <w:b/>
        </w:rPr>
        <w:t>Outcome Measures</w:t>
      </w:r>
    </w:p>
    <w:p w14:paraId="5FB3932C" w14:textId="186054F9" w:rsidR="00001536" w:rsidRDefault="00001536" w:rsidP="00001536">
      <w:pPr>
        <w:rPr>
          <w:b/>
          <w:bCs/>
          <w:i/>
          <w:iCs/>
        </w:rPr>
      </w:pPr>
      <w:r w:rsidRPr="00001536">
        <w:rPr>
          <w:b/>
          <w:bCs/>
          <w:i/>
          <w:iCs/>
        </w:rPr>
        <w:t>30-Day Readmission Rate for Medicati</w:t>
      </w:r>
      <w:r w:rsidR="00C83B06">
        <w:rPr>
          <w:b/>
          <w:bCs/>
          <w:i/>
          <w:iCs/>
        </w:rPr>
        <w:t>on Issues</w:t>
      </w:r>
    </w:p>
    <w:p w14:paraId="6E39B0E7" w14:textId="700E01CC" w:rsidR="00001536" w:rsidRDefault="00EF294D" w:rsidP="00EF294D">
      <w:pPr>
        <w:ind w:firstLine="720"/>
        <w:rPr>
          <w:bCs/>
        </w:rPr>
      </w:pPr>
      <w:r w:rsidRPr="00EF294D">
        <w:rPr>
          <w:bCs/>
        </w:rPr>
        <w:t xml:space="preserve">Hospital readmission logs </w:t>
      </w:r>
      <w:r w:rsidR="00356B0A">
        <w:rPr>
          <w:bCs/>
        </w:rPr>
        <w:t>were</w:t>
      </w:r>
      <w:r w:rsidRPr="00EF294D">
        <w:rPr>
          <w:bCs/>
        </w:rPr>
        <w:t xml:space="preserve"> sorted by ICD-10 codes and flagged for medication-related issues. This data reflects on pharmacy discharge notes, and patient case histories </w:t>
      </w:r>
      <w:r w:rsidR="00356B0A">
        <w:rPr>
          <w:bCs/>
        </w:rPr>
        <w:t>were</w:t>
      </w:r>
      <w:r w:rsidRPr="00EF294D">
        <w:rPr>
          <w:bCs/>
        </w:rPr>
        <w:t xml:space="preserve"> reviewed to determine whether pharmacist interventions reduced preventable return to inpatient </w:t>
      </w:r>
      <w:r w:rsidRPr="00EF294D">
        <w:rPr>
          <w:bCs/>
        </w:rPr>
        <w:lastRenderedPageBreak/>
        <w:t xml:space="preserve">care. Cossette et al.'s (2021) study </w:t>
      </w:r>
      <w:r w:rsidR="00356B0A" w:rsidRPr="00EF294D">
        <w:rPr>
          <w:bCs/>
        </w:rPr>
        <w:t>foun</w:t>
      </w:r>
      <w:r w:rsidR="00356B0A">
        <w:rPr>
          <w:bCs/>
        </w:rPr>
        <w:t>d</w:t>
      </w:r>
      <w:r w:rsidRPr="00EF294D">
        <w:rPr>
          <w:bCs/>
        </w:rPr>
        <w:t xml:space="preserve"> that pharmacist discharge efforts </w:t>
      </w:r>
      <w:r w:rsidR="00356B0A">
        <w:rPr>
          <w:bCs/>
        </w:rPr>
        <w:t>were</w:t>
      </w:r>
      <w:r w:rsidRPr="00EF294D">
        <w:rPr>
          <w:bCs/>
        </w:rPr>
        <w:t xml:space="preserve"> significantly lower due to the readmission rates among high-risk populations.</w:t>
      </w:r>
    </w:p>
    <w:p w14:paraId="04525E47" w14:textId="137B854C" w:rsidR="00D23EE4" w:rsidRDefault="00D23EE4" w:rsidP="00D23EE4">
      <w:pPr>
        <w:rPr>
          <w:b/>
          <w:i/>
          <w:iCs/>
        </w:rPr>
      </w:pPr>
      <w:r w:rsidRPr="00D23EE4">
        <w:rPr>
          <w:b/>
          <w:i/>
          <w:iCs/>
        </w:rPr>
        <w:t>Medication Errors</w:t>
      </w:r>
    </w:p>
    <w:p w14:paraId="11AA024B" w14:textId="18D76750" w:rsidR="00697C08" w:rsidRDefault="00697C08" w:rsidP="00697C08">
      <w:pPr>
        <w:ind w:firstLine="720"/>
        <w:rPr>
          <w:bCs/>
        </w:rPr>
      </w:pPr>
      <w:r w:rsidRPr="00697C08">
        <w:rPr>
          <w:bCs/>
        </w:rPr>
        <w:t xml:space="preserve">Internal incident reports and safety logs </w:t>
      </w:r>
      <w:r w:rsidR="001B1C3F">
        <w:rPr>
          <w:bCs/>
        </w:rPr>
        <w:t>were</w:t>
      </w:r>
      <w:r w:rsidRPr="00697C08">
        <w:rPr>
          <w:bCs/>
        </w:rPr>
        <w:t xml:space="preserve"> used to track the frequency and analyze medication errors. These included the documentation lapses, dispensing mistakes, or miscommunications during discharge, and error severity is classified using standard scales. By understanding the causes of these errors, staff and communities c</w:t>
      </w:r>
      <w:r w:rsidR="001B1C3F">
        <w:rPr>
          <w:bCs/>
        </w:rPr>
        <w:t>ould</w:t>
      </w:r>
      <w:r w:rsidRPr="00697C08">
        <w:rPr>
          <w:bCs/>
        </w:rPr>
        <w:t xml:space="preserve"> improve their ability to enhance their strategies. Cerqueira et al. (2023) used patient feedback to help inform the development of error prevention strategies. </w:t>
      </w:r>
    </w:p>
    <w:p w14:paraId="05CA41F8" w14:textId="7834839C" w:rsidR="0072219C" w:rsidRDefault="0072219C" w:rsidP="00697C08">
      <w:pPr>
        <w:rPr>
          <w:bCs/>
          <w:i/>
          <w:iCs/>
        </w:rPr>
      </w:pPr>
      <w:r w:rsidRPr="0072219C">
        <w:rPr>
          <w:b/>
          <w:bCs/>
          <w:i/>
          <w:iCs/>
        </w:rPr>
        <w:t>Patient Satisfaction with Discharge Counseling</w:t>
      </w:r>
      <w:r w:rsidRPr="0072219C">
        <w:rPr>
          <w:bCs/>
          <w:i/>
          <w:iCs/>
        </w:rPr>
        <w:t xml:space="preserve"> </w:t>
      </w:r>
    </w:p>
    <w:p w14:paraId="26119F95" w14:textId="077EE916" w:rsidR="000A0A20" w:rsidRDefault="00697C08" w:rsidP="00E14DE5">
      <w:pPr>
        <w:ind w:firstLine="720"/>
        <w:rPr>
          <w:bCs/>
        </w:rPr>
      </w:pPr>
      <w:r w:rsidRPr="00697C08">
        <w:rPr>
          <w:bCs/>
        </w:rPr>
        <w:t>A post-discharge survey</w:t>
      </w:r>
      <w:r w:rsidR="001B1C3F">
        <w:rPr>
          <w:bCs/>
        </w:rPr>
        <w:t xml:space="preserve"> was</w:t>
      </w:r>
      <w:r w:rsidRPr="00697C08">
        <w:rPr>
          <w:bCs/>
        </w:rPr>
        <w:t xml:space="preserve"> emailed or texted to patients within 24 hours. The email or text w</w:t>
      </w:r>
      <w:r w:rsidR="001B1C3F">
        <w:rPr>
          <w:bCs/>
        </w:rPr>
        <w:t>ould</w:t>
      </w:r>
      <w:r w:rsidRPr="00697C08">
        <w:rPr>
          <w:bCs/>
        </w:rPr>
        <w:t xml:space="preserve"> include Likert-scale items and open-ended questions about clarity, usefulness, and accessibility of discharge instructions. Cerqueira et al. (2023) supported that patient feedback was necessary for shaping pharmacy services, procedures, and patient needs. Likewise, </w:t>
      </w:r>
      <w:proofErr w:type="spellStart"/>
      <w:r w:rsidRPr="00697C08">
        <w:rPr>
          <w:bCs/>
        </w:rPr>
        <w:t>Balayssac</w:t>
      </w:r>
      <w:proofErr w:type="spellEnd"/>
      <w:r w:rsidRPr="00697C08">
        <w:rPr>
          <w:bCs/>
        </w:rPr>
        <w:t xml:space="preserve"> et al. (2023) showed that pharmaceutical communication helps improve satisfaction in healthcare. </w:t>
      </w:r>
    </w:p>
    <w:p w14:paraId="08DBC924" w14:textId="77777777" w:rsidR="000D79BE" w:rsidRDefault="000D79BE" w:rsidP="000D79BE">
      <w:pPr>
        <w:rPr>
          <w:b/>
          <w:i/>
          <w:iCs/>
        </w:rPr>
      </w:pPr>
      <w:r w:rsidRPr="000D79BE">
        <w:rPr>
          <w:b/>
          <w:i/>
          <w:iCs/>
        </w:rPr>
        <w:t>Pharmacist Ethical Reasoning</w:t>
      </w:r>
    </w:p>
    <w:p w14:paraId="3F334FE9" w14:textId="4E56CFC7" w:rsidR="000D79BE" w:rsidRPr="000D79BE" w:rsidRDefault="00697C08" w:rsidP="000D79BE">
      <w:pPr>
        <w:ind w:firstLine="720"/>
        <w:rPr>
          <w:bCs/>
        </w:rPr>
      </w:pPr>
      <w:r w:rsidRPr="00697C08">
        <w:rPr>
          <w:bCs/>
        </w:rPr>
        <w:t xml:space="preserve">A </w:t>
      </w:r>
      <w:r w:rsidR="00281170">
        <w:rPr>
          <w:bCs/>
        </w:rPr>
        <w:t>pre- and post-intervention survey was used to assess the pharmacists' decision-making skills through ethical descriptions</w:t>
      </w:r>
      <w:r w:rsidRPr="00697C08">
        <w:rPr>
          <w:bCs/>
        </w:rPr>
        <w:t xml:space="preserve">. This instrument </w:t>
      </w:r>
      <w:r w:rsidR="00281170">
        <w:rPr>
          <w:bCs/>
        </w:rPr>
        <w:t xml:space="preserve">was </w:t>
      </w:r>
      <w:r w:rsidRPr="00697C08">
        <w:rPr>
          <w:bCs/>
        </w:rPr>
        <w:t>modeled after McCleery et al. (2024), which evaluate</w:t>
      </w:r>
      <w:r w:rsidR="00281170">
        <w:rPr>
          <w:bCs/>
        </w:rPr>
        <w:t>d</w:t>
      </w:r>
      <w:r w:rsidRPr="00697C08">
        <w:rPr>
          <w:bCs/>
        </w:rPr>
        <w:t xml:space="preserve"> how ethical reasoning changes following internal workshops and feedback sessions.</w:t>
      </w:r>
    </w:p>
    <w:p w14:paraId="078BD99A" w14:textId="77777777" w:rsidR="00160B0A" w:rsidRDefault="00160B0A" w:rsidP="000D79BE">
      <w:pPr>
        <w:rPr>
          <w:b/>
          <w:i/>
          <w:iCs/>
        </w:rPr>
      </w:pPr>
    </w:p>
    <w:p w14:paraId="5C466EC6" w14:textId="77777777" w:rsidR="00160B0A" w:rsidRDefault="00160B0A" w:rsidP="000D79BE">
      <w:pPr>
        <w:rPr>
          <w:b/>
          <w:i/>
          <w:iCs/>
        </w:rPr>
      </w:pPr>
    </w:p>
    <w:p w14:paraId="446537E7" w14:textId="352AD1F1" w:rsidR="000D79BE" w:rsidRPr="000D79BE" w:rsidRDefault="000D79BE" w:rsidP="000D79BE">
      <w:pPr>
        <w:rPr>
          <w:b/>
          <w:i/>
          <w:iCs/>
        </w:rPr>
      </w:pPr>
      <w:r w:rsidRPr="000D79BE">
        <w:rPr>
          <w:b/>
          <w:i/>
          <w:iCs/>
        </w:rPr>
        <w:lastRenderedPageBreak/>
        <w:t>Pharmacist Knowledge in Spe</w:t>
      </w:r>
      <w:r w:rsidR="002723EE">
        <w:rPr>
          <w:b/>
          <w:i/>
          <w:iCs/>
        </w:rPr>
        <w:t>cific</w:t>
      </w:r>
      <w:r w:rsidRPr="000D79BE">
        <w:rPr>
          <w:b/>
          <w:i/>
          <w:iCs/>
        </w:rPr>
        <w:t xml:space="preserve"> Areas</w:t>
      </w:r>
    </w:p>
    <w:p w14:paraId="5F70C89D" w14:textId="5424C273" w:rsidR="000D79BE" w:rsidRPr="000D79BE" w:rsidRDefault="000D79BE" w:rsidP="000D79BE">
      <w:pPr>
        <w:rPr>
          <w:bCs/>
        </w:rPr>
      </w:pPr>
      <w:r w:rsidRPr="000D79BE">
        <w:rPr>
          <w:bCs/>
        </w:rPr>
        <w:t xml:space="preserve"> </w:t>
      </w:r>
      <w:r>
        <w:rPr>
          <w:bCs/>
        </w:rPr>
        <w:tab/>
      </w:r>
      <w:r w:rsidR="00E50216" w:rsidRPr="00E50216">
        <w:rPr>
          <w:bCs/>
        </w:rPr>
        <w:t>The knowledge tests w</w:t>
      </w:r>
      <w:r w:rsidR="00281170">
        <w:rPr>
          <w:bCs/>
        </w:rPr>
        <w:t>ould</w:t>
      </w:r>
      <w:r w:rsidR="00E50216" w:rsidRPr="00E50216">
        <w:rPr>
          <w:bCs/>
        </w:rPr>
        <w:t xml:space="preserve"> include multiple-choice and scenario-based questions related to renal clearance and cancer pain management. These tools </w:t>
      </w:r>
      <w:r w:rsidR="00281170">
        <w:rPr>
          <w:bCs/>
        </w:rPr>
        <w:t>were</w:t>
      </w:r>
      <w:r w:rsidR="00E50216" w:rsidRPr="00E50216">
        <w:rPr>
          <w:bCs/>
        </w:rPr>
        <w:t xml:space="preserve"> adapted from </w:t>
      </w:r>
      <w:proofErr w:type="spellStart"/>
      <w:r w:rsidR="00E50216" w:rsidRPr="00E50216">
        <w:rPr>
          <w:bCs/>
        </w:rPr>
        <w:t>Alshouli</w:t>
      </w:r>
      <w:proofErr w:type="spellEnd"/>
      <w:r w:rsidR="00E50216" w:rsidRPr="00E50216">
        <w:rPr>
          <w:bCs/>
        </w:rPr>
        <w:t xml:space="preserve"> et al. (2024) and Liu et al. (2021) studies, which identified the gaps and limitations of these areas, thereby informing the training's focus.</w:t>
      </w:r>
    </w:p>
    <w:p w14:paraId="68883172" w14:textId="77777777" w:rsidR="000D79BE" w:rsidRDefault="000D79BE" w:rsidP="000D79BE">
      <w:pPr>
        <w:rPr>
          <w:bCs/>
        </w:rPr>
      </w:pPr>
      <w:r w:rsidRPr="000D79BE">
        <w:rPr>
          <w:b/>
          <w:i/>
          <w:iCs/>
        </w:rPr>
        <w:t>Readability of Discharge Instructions</w:t>
      </w:r>
    </w:p>
    <w:p w14:paraId="535C8D61" w14:textId="5699BA24" w:rsidR="000D79BE" w:rsidRPr="000A0A20" w:rsidRDefault="000D79BE" w:rsidP="000D79BE">
      <w:pPr>
        <w:ind w:firstLine="720"/>
        <w:rPr>
          <w:bCs/>
        </w:rPr>
      </w:pPr>
      <w:r w:rsidRPr="000D79BE">
        <w:rPr>
          <w:bCs/>
        </w:rPr>
        <w:t xml:space="preserve"> </w:t>
      </w:r>
      <w:r w:rsidR="00E50216" w:rsidRPr="00E50216">
        <w:rPr>
          <w:bCs/>
        </w:rPr>
        <w:t xml:space="preserve"> Patient understandings of the written medication information </w:t>
      </w:r>
      <w:r w:rsidR="00281170">
        <w:rPr>
          <w:bCs/>
        </w:rPr>
        <w:t>were</w:t>
      </w:r>
      <w:r w:rsidR="00E50216" w:rsidRPr="00E50216">
        <w:rPr>
          <w:bCs/>
        </w:rPr>
        <w:t xml:space="preserve"> calculated by using surveys and validated readability formulas such as the Flesch-Kincaid readability test. Zheng et al. (2022) stated that the poor readability of medication instructions c</w:t>
      </w:r>
      <w:r w:rsidR="00281170">
        <w:rPr>
          <w:bCs/>
        </w:rPr>
        <w:t>ould</w:t>
      </w:r>
      <w:r w:rsidR="00E50216" w:rsidRPr="00E50216">
        <w:rPr>
          <w:bCs/>
        </w:rPr>
        <w:t xml:space="preserve"> contribute to non-adherence; therefore, it reinforces the idea that the metric is important.</w:t>
      </w:r>
    </w:p>
    <w:p w14:paraId="7E92CB38" w14:textId="7B4F5944" w:rsidR="0072219C" w:rsidRDefault="00AE14DF" w:rsidP="00AE14DF">
      <w:pPr>
        <w:jc w:val="center"/>
        <w:rPr>
          <w:b/>
        </w:rPr>
      </w:pPr>
      <w:r w:rsidRPr="00AE14DF">
        <w:rPr>
          <w:b/>
        </w:rPr>
        <w:t>Collecting and Reporting Results</w:t>
      </w:r>
    </w:p>
    <w:p w14:paraId="2EBB5E1B" w14:textId="33A2A980" w:rsidR="00AE14DF" w:rsidRDefault="00AE14DF" w:rsidP="00AE14DF">
      <w:pPr>
        <w:rPr>
          <w:b/>
        </w:rPr>
      </w:pPr>
      <w:r>
        <w:rPr>
          <w:b/>
        </w:rPr>
        <w:t>Collecting Data</w:t>
      </w:r>
    </w:p>
    <w:p w14:paraId="0724F069" w14:textId="6CCD2AB8" w:rsidR="00280059" w:rsidRDefault="00280059" w:rsidP="00120D9B">
      <w:pPr>
        <w:ind w:firstLine="720"/>
        <w:rPr>
          <w:bCs/>
        </w:rPr>
      </w:pPr>
      <w:r>
        <w:t>The evaluation program for Hope Valley gather</w:t>
      </w:r>
      <w:r w:rsidR="00786555">
        <w:t>ed</w:t>
      </w:r>
      <w:r>
        <w:t xml:space="preserve"> data over a three-month period to </w:t>
      </w:r>
      <w:r w:rsidR="00D72982">
        <w:t>ensure the program had</w:t>
      </w:r>
      <w:r>
        <w:t xml:space="preserve"> </w:t>
      </w:r>
      <w:proofErr w:type="gramStart"/>
      <w:r>
        <w:t>a sufficient</w:t>
      </w:r>
      <w:proofErr w:type="gramEnd"/>
      <w:r>
        <w:t xml:space="preserve"> sample size and observable outcomes. Green et al.'s (2024) study shows that it is recommended to have a 12-week timeframe for successful evaluation of pharmacy interventions within transitional care frameworks. This period c</w:t>
      </w:r>
      <w:r w:rsidR="00786555">
        <w:t>ould</w:t>
      </w:r>
      <w:r>
        <w:t xml:space="preserve"> allow for a balance between the need for a deeper understanding of tracking recurring patterns while minimizing the impact of seasonal changes. </w:t>
      </w:r>
    </w:p>
    <w:p w14:paraId="152E7067" w14:textId="6E4C7B59" w:rsidR="00F6473F" w:rsidRPr="00F6473F" w:rsidRDefault="00F6473F" w:rsidP="00F6473F">
      <w:pPr>
        <w:rPr>
          <w:b/>
          <w:bCs/>
        </w:rPr>
      </w:pPr>
      <w:r w:rsidRPr="00F6473F">
        <w:rPr>
          <w:b/>
          <w:bCs/>
          <w:i/>
          <w:iCs/>
        </w:rPr>
        <w:t>DMR Completion</w:t>
      </w:r>
    </w:p>
    <w:p w14:paraId="319AE4BA" w14:textId="4D76F240" w:rsidR="00F6473F" w:rsidRPr="00120D9B" w:rsidRDefault="00F6473F" w:rsidP="00F6473F">
      <w:r w:rsidRPr="00F6473F">
        <w:rPr>
          <w:b/>
          <w:bCs/>
        </w:rPr>
        <w:t xml:space="preserve">            </w:t>
      </w:r>
      <w:r w:rsidR="00120D9B" w:rsidRPr="00120D9B">
        <w:t xml:space="preserve">DMR completion rates </w:t>
      </w:r>
      <w:r w:rsidR="00786555">
        <w:t>were</w:t>
      </w:r>
      <w:r w:rsidR="00120D9B" w:rsidRPr="00120D9B">
        <w:t xml:space="preserve"> extracted from the hospital's electronic health records (EHR) system. The DMR event is logged each time with a timestamp and its associated discharge summary. This data shows that all patients were captured during the three months and reviewed </w:t>
      </w:r>
      <w:r w:rsidR="00120D9B" w:rsidRPr="00120D9B">
        <w:lastRenderedPageBreak/>
        <w:t>for quality. Green et al. (2024) support that the record tracking system c</w:t>
      </w:r>
      <w:r w:rsidR="00786555">
        <w:t>ould</w:t>
      </w:r>
      <w:r w:rsidR="00120D9B" w:rsidRPr="00120D9B">
        <w:t xml:space="preserve"> provide high reliability in commitment and discharge medication evaluation.</w:t>
      </w:r>
    </w:p>
    <w:p w14:paraId="00A9CFC9" w14:textId="77777777" w:rsidR="00A768A8" w:rsidRPr="00A768A8" w:rsidRDefault="00A768A8" w:rsidP="00A768A8">
      <w:pPr>
        <w:rPr>
          <w:b/>
          <w:bCs/>
        </w:rPr>
      </w:pPr>
      <w:r w:rsidRPr="00A768A8">
        <w:rPr>
          <w:b/>
          <w:bCs/>
          <w:i/>
          <w:iCs/>
        </w:rPr>
        <w:t>Pharmacist Time Distribution</w:t>
      </w:r>
    </w:p>
    <w:p w14:paraId="0D9503C6" w14:textId="66010A32" w:rsidR="00A768A8" w:rsidRPr="00120D9B" w:rsidRDefault="00A768A8" w:rsidP="00A768A8">
      <w:r w:rsidRPr="00A768A8">
        <w:rPr>
          <w:b/>
          <w:bCs/>
          <w:i/>
          <w:iCs/>
        </w:rPr>
        <w:t xml:space="preserve">            </w:t>
      </w:r>
      <w:r w:rsidR="00120D9B" w:rsidRPr="00120D9B">
        <w:t xml:space="preserve">Time-tracking digital software </w:t>
      </w:r>
      <w:r w:rsidR="00362F4A">
        <w:t>was</w:t>
      </w:r>
      <w:r w:rsidR="00120D9B" w:rsidRPr="00120D9B">
        <w:t xml:space="preserve"> used to record the time allocated to clinical, administrative, and patient counseling duties. This digital logging system </w:t>
      </w:r>
      <w:r w:rsidR="00D72982">
        <w:t>was</w:t>
      </w:r>
      <w:r w:rsidR="00120D9B" w:rsidRPr="00120D9B">
        <w:t xml:space="preserve"> used for consistent monitoring without interrupting the hospital work environment. </w:t>
      </w:r>
      <w:proofErr w:type="spellStart"/>
      <w:r w:rsidR="00120D9B" w:rsidRPr="00120D9B">
        <w:t>Herledan</w:t>
      </w:r>
      <w:proofErr w:type="spellEnd"/>
      <w:r w:rsidR="00120D9B" w:rsidRPr="00120D9B">
        <w:t xml:space="preserve"> et al.'s (2024) study </w:t>
      </w:r>
      <w:proofErr w:type="gramStart"/>
      <w:r w:rsidR="00120D9B" w:rsidRPr="00120D9B">
        <w:t>support</w:t>
      </w:r>
      <w:r w:rsidR="00362F4A">
        <w:t>ed</w:t>
      </w:r>
      <w:proofErr w:type="gramEnd"/>
      <w:r w:rsidR="00120D9B" w:rsidRPr="00120D9B">
        <w:t xml:space="preserve"> that the use of these measurements c</w:t>
      </w:r>
      <w:r w:rsidR="00362F4A">
        <w:t>ould</w:t>
      </w:r>
      <w:r w:rsidR="00120D9B" w:rsidRPr="00120D9B">
        <w:t xml:space="preserve"> help by observing the staff performance and identifying any setbacks. Likewise, </w:t>
      </w:r>
      <w:proofErr w:type="spellStart"/>
      <w:r w:rsidR="00120D9B" w:rsidRPr="00120D9B">
        <w:t>Havnes</w:t>
      </w:r>
      <w:proofErr w:type="spellEnd"/>
      <w:r w:rsidR="00120D9B" w:rsidRPr="00120D9B">
        <w:t xml:space="preserve"> et al. (2021) elaborated that understanding workload distribution </w:t>
      </w:r>
      <w:r w:rsidR="00362F4A">
        <w:t>was</w:t>
      </w:r>
      <w:r w:rsidR="00120D9B" w:rsidRPr="00120D9B">
        <w:t xml:space="preserve"> necessary for improving pharmaceutical care delivery. </w:t>
      </w:r>
    </w:p>
    <w:p w14:paraId="7DF65FD3" w14:textId="77777777" w:rsidR="00AE05E0" w:rsidRPr="00AE05E0" w:rsidRDefault="00AE05E0" w:rsidP="00AE05E0">
      <w:pPr>
        <w:rPr>
          <w:b/>
          <w:bCs/>
        </w:rPr>
      </w:pPr>
      <w:r w:rsidRPr="00AE05E0">
        <w:rPr>
          <w:b/>
          <w:bCs/>
          <w:i/>
          <w:iCs/>
        </w:rPr>
        <w:t>Medication Handoff Frequency</w:t>
      </w:r>
    </w:p>
    <w:p w14:paraId="6FC7290C" w14:textId="553A3B3A" w:rsidR="00AE05E0" w:rsidRPr="003D19CC" w:rsidRDefault="00AE05E0" w:rsidP="00AE05E0">
      <w:pPr>
        <w:rPr>
          <w:bCs/>
        </w:rPr>
      </w:pPr>
      <w:r w:rsidRPr="00AE05E0">
        <w:rPr>
          <w:bCs/>
          <w:i/>
          <w:iCs/>
        </w:rPr>
        <w:t xml:space="preserve">            </w:t>
      </w:r>
      <w:r w:rsidR="003D19CC" w:rsidRPr="003D19CC">
        <w:rPr>
          <w:bCs/>
        </w:rPr>
        <w:t>Data on adjustments to community pharmacies w</w:t>
      </w:r>
      <w:r w:rsidR="00362F4A">
        <w:rPr>
          <w:bCs/>
        </w:rPr>
        <w:t>ere</w:t>
      </w:r>
      <w:r w:rsidR="003D19CC" w:rsidRPr="003D19CC">
        <w:rPr>
          <w:bCs/>
        </w:rPr>
        <w:t xml:space="preserve"> retrieved from internal discharge logs and collaborative reports with outpatient pharmacies. Through each of these </w:t>
      </w:r>
      <w:r w:rsidR="00EC4F7A" w:rsidRPr="003D19CC">
        <w:rPr>
          <w:bCs/>
        </w:rPr>
        <w:t>records</w:t>
      </w:r>
      <w:r w:rsidR="00EC4F7A">
        <w:rPr>
          <w:bCs/>
        </w:rPr>
        <w:t>,</w:t>
      </w:r>
      <w:r w:rsidR="00EC4F7A" w:rsidRPr="003D19CC">
        <w:rPr>
          <w:bCs/>
        </w:rPr>
        <w:t xml:space="preserve"> it</w:t>
      </w:r>
      <w:r w:rsidR="00EC4F7A">
        <w:rPr>
          <w:bCs/>
        </w:rPr>
        <w:t xml:space="preserve"> </w:t>
      </w:r>
      <w:r w:rsidR="00EC4F7A" w:rsidRPr="003D19CC">
        <w:rPr>
          <w:bCs/>
        </w:rPr>
        <w:t>w</w:t>
      </w:r>
      <w:r w:rsidR="00EC4F7A">
        <w:rPr>
          <w:bCs/>
        </w:rPr>
        <w:t>as</w:t>
      </w:r>
      <w:r w:rsidR="003D19CC" w:rsidRPr="003D19CC">
        <w:rPr>
          <w:bCs/>
        </w:rPr>
        <w:t xml:space="preserve"> verified that a completed medication handoff is transferred within 48 hours of post-discharge. This tool </w:t>
      </w:r>
      <w:r w:rsidR="00EC4F7A">
        <w:rPr>
          <w:bCs/>
        </w:rPr>
        <w:t>was</w:t>
      </w:r>
      <w:r w:rsidR="003D19CC" w:rsidRPr="003D19CC">
        <w:rPr>
          <w:bCs/>
        </w:rPr>
        <w:t xml:space="preserve"> supported by </w:t>
      </w:r>
      <w:proofErr w:type="spellStart"/>
      <w:r w:rsidR="003D19CC" w:rsidRPr="003D19CC">
        <w:rPr>
          <w:bCs/>
        </w:rPr>
        <w:t>Murteira</w:t>
      </w:r>
      <w:proofErr w:type="spellEnd"/>
      <w:r w:rsidR="003D19CC" w:rsidRPr="003D19CC">
        <w:rPr>
          <w:bCs/>
        </w:rPr>
        <w:t xml:space="preserve"> et al. (2022) and Cornelissen et al. (2022), who stated that pharmacy documentation </w:t>
      </w:r>
      <w:r w:rsidR="00D72982">
        <w:rPr>
          <w:bCs/>
        </w:rPr>
        <w:t>was</w:t>
      </w:r>
      <w:r w:rsidR="003D19CC" w:rsidRPr="003D19CC">
        <w:rPr>
          <w:bCs/>
        </w:rPr>
        <w:t xml:space="preserve"> necessary for reducing gaps in transitional care. </w:t>
      </w:r>
    </w:p>
    <w:p w14:paraId="4D98D0F2" w14:textId="77777777" w:rsidR="0075163C" w:rsidRPr="0075163C" w:rsidRDefault="0075163C" w:rsidP="0075163C">
      <w:pPr>
        <w:rPr>
          <w:b/>
          <w:bCs/>
        </w:rPr>
      </w:pPr>
      <w:r w:rsidRPr="0075163C">
        <w:rPr>
          <w:b/>
          <w:bCs/>
          <w:i/>
          <w:iCs/>
        </w:rPr>
        <w:t>Readmission Rates</w:t>
      </w:r>
    </w:p>
    <w:p w14:paraId="7A94BD69" w14:textId="3B3969A4" w:rsidR="0075163C" w:rsidRPr="003D19CC" w:rsidRDefault="0075163C" w:rsidP="0075163C">
      <w:r w:rsidRPr="0075163C">
        <w:rPr>
          <w:b/>
          <w:bCs/>
        </w:rPr>
        <w:t xml:space="preserve">            </w:t>
      </w:r>
      <w:r w:rsidR="003D19CC" w:rsidRPr="003D19CC">
        <w:t xml:space="preserve">The thirty-day readmissions data </w:t>
      </w:r>
      <w:r w:rsidR="00D72982">
        <w:t>were</w:t>
      </w:r>
      <w:r w:rsidR="003D19CC" w:rsidRPr="003D19CC">
        <w:t xml:space="preserve"> connected to medication causes that were collected using hospital admission logs.  Using ICD-10 codes and discharge notes, the evaluation team tracks and analyzes these cases. These pharmacy notes help</w:t>
      </w:r>
      <w:r w:rsidR="00D72982">
        <w:t>ed</w:t>
      </w:r>
      <w:r w:rsidR="003D19CC" w:rsidRPr="003D19CC">
        <w:t xml:space="preserve"> understand ways to prevent medication issues. Cossette et al. (2021) use</w:t>
      </w:r>
      <w:r w:rsidR="00D72982">
        <w:t xml:space="preserve">d </w:t>
      </w:r>
      <w:r w:rsidR="003D19CC" w:rsidRPr="003D19CC">
        <w:t>this method as a way of showing how effective the logs c</w:t>
      </w:r>
      <w:r w:rsidR="00D72982">
        <w:t>ould</w:t>
      </w:r>
      <w:r w:rsidR="003D19CC" w:rsidRPr="003D19CC">
        <w:t xml:space="preserve"> be when measuring the pharmacist's impact on readmissions</w:t>
      </w:r>
      <w:r w:rsidR="00303DE3" w:rsidRPr="003D19CC">
        <w:t>.</w:t>
      </w:r>
    </w:p>
    <w:p w14:paraId="6BF2025F" w14:textId="77777777" w:rsidR="00DD7478" w:rsidRDefault="00DD7478" w:rsidP="00DD7478">
      <w:pPr>
        <w:rPr>
          <w:b/>
          <w:bCs/>
          <w:i/>
          <w:iCs/>
        </w:rPr>
      </w:pPr>
    </w:p>
    <w:p w14:paraId="6802ACC7" w14:textId="77777777" w:rsidR="00DD7478" w:rsidRDefault="00DD7478" w:rsidP="00DD7478">
      <w:pPr>
        <w:rPr>
          <w:b/>
          <w:bCs/>
          <w:i/>
          <w:iCs/>
        </w:rPr>
      </w:pPr>
    </w:p>
    <w:p w14:paraId="3F87E0F1" w14:textId="3E51ED20" w:rsidR="00DD7478" w:rsidRPr="00DD7478" w:rsidRDefault="00DD7478" w:rsidP="00DD7478">
      <w:pPr>
        <w:rPr>
          <w:b/>
          <w:bCs/>
        </w:rPr>
      </w:pPr>
      <w:r w:rsidRPr="00DD7478">
        <w:rPr>
          <w:b/>
          <w:bCs/>
          <w:i/>
          <w:iCs/>
        </w:rPr>
        <w:lastRenderedPageBreak/>
        <w:t>Medication Errors</w:t>
      </w:r>
    </w:p>
    <w:p w14:paraId="5ACD63D4" w14:textId="3039C320" w:rsidR="00DD7478" w:rsidRPr="002B0B85" w:rsidRDefault="00DD7478" w:rsidP="00DD7478">
      <w:r w:rsidRPr="00DD7478">
        <w:rPr>
          <w:b/>
          <w:bCs/>
          <w:i/>
          <w:iCs/>
        </w:rPr>
        <w:t xml:space="preserve">            </w:t>
      </w:r>
      <w:r w:rsidR="002B0B85" w:rsidRPr="002B0B85">
        <w:t xml:space="preserve">Internal incident reports and pharmacist documentation </w:t>
      </w:r>
      <w:r w:rsidR="00D72982">
        <w:t>were</w:t>
      </w:r>
      <w:r w:rsidR="002B0B85" w:rsidRPr="002B0B85">
        <w:t xml:space="preserve"> reviewed to report and categorize the medication errors. Each of the reports </w:t>
      </w:r>
      <w:r w:rsidR="00E91565">
        <w:t>was</w:t>
      </w:r>
      <w:r w:rsidR="002B0B85" w:rsidRPr="002B0B85">
        <w:t xml:space="preserve"> then cross-referenced with pharmacist documentation using an organized approach to the cause, severity, and frequency. The severity and type </w:t>
      </w:r>
      <w:r w:rsidR="00E91565">
        <w:t>were</w:t>
      </w:r>
      <w:r w:rsidR="002B0B85" w:rsidRPr="002B0B85">
        <w:t xml:space="preserve"> factored by dispensing, transcription, and administration. Cerqueira et al.'s (2023) study recommends using a multiple data point safety log that includes the narrative data to prove underreported incidents.</w:t>
      </w:r>
    </w:p>
    <w:p w14:paraId="5448BDF1" w14:textId="77777777" w:rsidR="003F1031" w:rsidRPr="003F1031" w:rsidRDefault="003F1031" w:rsidP="003F1031">
      <w:pPr>
        <w:rPr>
          <w:b/>
        </w:rPr>
      </w:pPr>
      <w:r w:rsidRPr="003F1031">
        <w:rPr>
          <w:b/>
          <w:bCs/>
          <w:i/>
          <w:iCs/>
        </w:rPr>
        <w:t>Patient Satisfaction</w:t>
      </w:r>
    </w:p>
    <w:p w14:paraId="092105F8" w14:textId="202CA2B9" w:rsidR="002B0B85" w:rsidRPr="002B0B85" w:rsidRDefault="003F1031" w:rsidP="002B0B85">
      <w:pPr>
        <w:pStyle w:val="NormalWeb"/>
      </w:pPr>
      <w:r w:rsidRPr="003F1031">
        <w:rPr>
          <w:b/>
          <w:bCs/>
          <w:i/>
          <w:iCs/>
        </w:rPr>
        <w:t>           </w:t>
      </w:r>
      <w:r w:rsidR="002B0B85" w:rsidRPr="002B0B85">
        <w:t xml:space="preserve">Digital surveys </w:t>
      </w:r>
      <w:r w:rsidR="00E91565">
        <w:t>were</w:t>
      </w:r>
      <w:r w:rsidR="002B0B85" w:rsidRPr="002B0B85">
        <w:t xml:space="preserve"> distributed through email or text message within 24 hours of patient discharge. This survey includes both Likert-scale questions and open-text questions to understand the counseling clarity, communication, and satisfaction with discharge materials.</w:t>
      </w:r>
    </w:p>
    <w:p w14:paraId="23061480" w14:textId="5AEB4ABE" w:rsidR="002B0B85" w:rsidRPr="002B0B85" w:rsidRDefault="002B0B85" w:rsidP="002B0B85">
      <w:pPr>
        <w:pStyle w:val="NormalWeb"/>
      </w:pPr>
      <w:r w:rsidRPr="002B0B85">
        <w:t xml:space="preserve">This tool can be supplemented by </w:t>
      </w:r>
      <w:proofErr w:type="spellStart"/>
      <w:r w:rsidRPr="002B0B85">
        <w:t>Balayssac</w:t>
      </w:r>
      <w:proofErr w:type="spellEnd"/>
      <w:r w:rsidRPr="002B0B85">
        <w:t xml:space="preserve"> et al. (2023), who implemented evidence that post-discharge surveys c</w:t>
      </w:r>
      <w:r w:rsidR="00E91565">
        <w:t>ould</w:t>
      </w:r>
      <w:r w:rsidRPr="002B0B85">
        <w:t xml:space="preserve"> provide actionable insights.</w:t>
      </w:r>
    </w:p>
    <w:p w14:paraId="437ABCB9" w14:textId="067DCBF4" w:rsidR="001377E0" w:rsidRPr="001377E0" w:rsidRDefault="001377E0" w:rsidP="002B0B85">
      <w:pPr>
        <w:pStyle w:val="NormalWeb"/>
        <w:rPr>
          <w:b/>
          <w:bCs/>
          <w:i/>
          <w:iCs/>
        </w:rPr>
      </w:pPr>
      <w:r w:rsidRPr="001377E0">
        <w:rPr>
          <w:b/>
          <w:bCs/>
          <w:i/>
          <w:iCs/>
        </w:rPr>
        <w:t>Pharmacist Ethical Reasoning</w:t>
      </w:r>
    </w:p>
    <w:p w14:paraId="0FDE8AB4" w14:textId="12407B8F" w:rsidR="001377E0" w:rsidRDefault="00776CE0" w:rsidP="00776CE0">
      <w:pPr>
        <w:ind w:firstLine="720"/>
      </w:pPr>
      <w:r w:rsidRPr="00776CE0">
        <w:t xml:space="preserve">Pre- and post-assessment surveys </w:t>
      </w:r>
      <w:r w:rsidR="00E91565">
        <w:t>were</w:t>
      </w:r>
      <w:r w:rsidRPr="00776CE0">
        <w:t xml:space="preserve"> </w:t>
      </w:r>
      <w:r w:rsidR="00E91565" w:rsidRPr="00776CE0">
        <w:t>used</w:t>
      </w:r>
      <w:r w:rsidRPr="00776CE0">
        <w:t xml:space="preserve"> </w:t>
      </w:r>
      <w:r w:rsidR="00E91565">
        <w:t xml:space="preserve">as </w:t>
      </w:r>
      <w:r w:rsidRPr="00776CE0">
        <w:t>an ethical case outline to evaluate changes in pharmacist decision-making. McCleery et al. (2024) followed by showing that ethical reasoning can be reliably measured with scenario-based tools.</w:t>
      </w:r>
    </w:p>
    <w:p w14:paraId="0D1BA19F" w14:textId="55046C7B" w:rsidR="00E17A1A" w:rsidRPr="00E73D65" w:rsidRDefault="00E17A1A" w:rsidP="00E17A1A">
      <w:pPr>
        <w:rPr>
          <w:i/>
          <w:iCs/>
        </w:rPr>
      </w:pPr>
      <w:r w:rsidRPr="00E17A1A">
        <w:rPr>
          <w:b/>
          <w:bCs/>
          <w:i/>
          <w:iCs/>
        </w:rPr>
        <w:t xml:space="preserve">Clinical Knowledge </w:t>
      </w:r>
      <w:r w:rsidR="00E73D65">
        <w:rPr>
          <w:b/>
          <w:bCs/>
          <w:i/>
          <w:iCs/>
        </w:rPr>
        <w:t xml:space="preserve">of Pain Management </w:t>
      </w:r>
    </w:p>
    <w:p w14:paraId="08F155D6" w14:textId="02A02D68" w:rsidR="00D82F77" w:rsidRDefault="00776CE0" w:rsidP="00776CE0">
      <w:pPr>
        <w:ind w:firstLine="720"/>
      </w:pPr>
      <w:r w:rsidRPr="00776CE0">
        <w:t>The measurements w</w:t>
      </w:r>
      <w:r w:rsidR="00E91565">
        <w:t>ould</w:t>
      </w:r>
      <w:r w:rsidRPr="00776CE0">
        <w:t xml:space="preserve"> also include a knowledge assessment containing case-based multiple-choice questions correlating to renal dosing and cancer pain management. </w:t>
      </w:r>
      <w:proofErr w:type="spellStart"/>
      <w:r w:rsidRPr="00776CE0">
        <w:t>Alshouli</w:t>
      </w:r>
      <w:proofErr w:type="spellEnd"/>
      <w:r w:rsidRPr="00776CE0">
        <w:t xml:space="preserve"> et al. (2024) and Liu et al. (2021) provide</w:t>
      </w:r>
      <w:r w:rsidR="00E91565">
        <w:t>d</w:t>
      </w:r>
      <w:r w:rsidRPr="00776CE0">
        <w:t xml:space="preserve"> instruments that c</w:t>
      </w:r>
      <w:r w:rsidR="00E91565">
        <w:t>ould</w:t>
      </w:r>
      <w:r w:rsidRPr="00776CE0">
        <w:t xml:space="preserve"> be adapted to assess and improve clinical ability. </w:t>
      </w:r>
    </w:p>
    <w:p w14:paraId="3B29EBA5" w14:textId="77777777" w:rsidR="00D82F77" w:rsidRDefault="00D82F77" w:rsidP="00D82F77">
      <w:pPr>
        <w:ind w:firstLine="720"/>
      </w:pPr>
    </w:p>
    <w:p w14:paraId="4FE44BD2" w14:textId="2D76A1CC" w:rsidR="00D82F77" w:rsidRPr="00D82F77" w:rsidRDefault="00D82F77" w:rsidP="00D82F77">
      <w:r w:rsidRPr="00D82F77">
        <w:rPr>
          <w:b/>
          <w:bCs/>
          <w:i/>
          <w:iCs/>
        </w:rPr>
        <w:lastRenderedPageBreak/>
        <w:t>Readability of Discharge Materials</w:t>
      </w:r>
    </w:p>
    <w:p w14:paraId="1652E668" w14:textId="44300D20" w:rsidR="00D82F77" w:rsidRDefault="00902139" w:rsidP="00D82F77">
      <w:pPr>
        <w:ind w:firstLine="720"/>
      </w:pPr>
      <w:r w:rsidRPr="00902139">
        <w:t>Patient surveys w</w:t>
      </w:r>
      <w:r w:rsidR="00E91565">
        <w:t>ere</w:t>
      </w:r>
      <w:r w:rsidRPr="00902139">
        <w:t xml:space="preserve"> evaluate</w:t>
      </w:r>
      <w:r w:rsidR="009613BD">
        <w:t>d through</w:t>
      </w:r>
      <w:r w:rsidRPr="00902139">
        <w:t xml:space="preserve"> the clarity of written discharge instructions. Additionally, the documents </w:t>
      </w:r>
      <w:r w:rsidR="009613BD">
        <w:t>were</w:t>
      </w:r>
      <w:r w:rsidRPr="00902139">
        <w:t xml:space="preserve"> analyzed using readability tools like </w:t>
      </w:r>
      <w:proofErr w:type="gramStart"/>
      <w:r w:rsidRPr="00902139">
        <w:t>the Flesch</w:t>
      </w:r>
      <w:proofErr w:type="gramEnd"/>
      <w:r w:rsidRPr="00902139">
        <w:t xml:space="preserve">-Kincaid to score the </w:t>
      </w:r>
      <w:proofErr w:type="gramStart"/>
      <w:r w:rsidRPr="00902139">
        <w:t>final results</w:t>
      </w:r>
      <w:proofErr w:type="gramEnd"/>
      <w:r w:rsidRPr="00902139">
        <w:t>. Zheng et al. (2022) use</w:t>
      </w:r>
      <w:r w:rsidR="009613BD">
        <w:t>d</w:t>
      </w:r>
      <w:r w:rsidRPr="00902139">
        <w:t xml:space="preserve"> this tool as a helpful way to make medication instructions more readable in supporting commitment.</w:t>
      </w:r>
    </w:p>
    <w:p w14:paraId="1DDAD78B" w14:textId="1DBBA091" w:rsidR="00FE3D31" w:rsidRDefault="00FE3D31" w:rsidP="00FE3D31">
      <w:pPr>
        <w:rPr>
          <w:b/>
          <w:bCs/>
        </w:rPr>
      </w:pPr>
      <w:r w:rsidRPr="00FE3D31">
        <w:rPr>
          <w:b/>
          <w:bCs/>
        </w:rPr>
        <w:t>Reporting Results</w:t>
      </w:r>
    </w:p>
    <w:p w14:paraId="1E3DDF38" w14:textId="13D9815E" w:rsidR="00E834B9" w:rsidRPr="00E834B9" w:rsidRDefault="00FE3D31" w:rsidP="00E834B9">
      <w:r>
        <w:rPr>
          <w:b/>
          <w:bCs/>
        </w:rPr>
        <w:tab/>
      </w:r>
      <w:r w:rsidR="00E834B9" w:rsidRPr="00E834B9">
        <w:rPr>
          <w:b/>
          <w:bCs/>
        </w:rPr>
        <w:t xml:space="preserve"> </w:t>
      </w:r>
      <w:r w:rsidR="00E834B9" w:rsidRPr="00E834B9">
        <w:t xml:space="preserve">These findings </w:t>
      </w:r>
      <w:r w:rsidR="009613BD">
        <w:t xml:space="preserve">were </w:t>
      </w:r>
      <w:r w:rsidR="00E834B9" w:rsidRPr="00E834B9">
        <w:t>separated into two different pathways: internal and external reporting. Internal reporting use</w:t>
      </w:r>
      <w:r w:rsidR="009613BD">
        <w:t>d</w:t>
      </w:r>
      <w:r w:rsidR="00E834B9" w:rsidRPr="00E834B9">
        <w:t xml:space="preserve"> visual dashboards to generate the </w:t>
      </w:r>
      <w:proofErr w:type="gramStart"/>
      <w:r w:rsidR="00E834B9" w:rsidRPr="00E834B9">
        <w:t>collected data</w:t>
      </w:r>
      <w:proofErr w:type="gramEnd"/>
      <w:r w:rsidR="00E834B9" w:rsidRPr="00E834B9">
        <w:t xml:space="preserve">. These dashboards </w:t>
      </w:r>
      <w:r w:rsidR="009613BD">
        <w:t>were</w:t>
      </w:r>
      <w:r w:rsidR="00E834B9" w:rsidRPr="00E834B9">
        <w:t xml:space="preserve"> shared with pharmacy staff and the hospital administrators in monthly summary reports and real-time logs. Dashboards display trends in DMR rates, error frequencies, and patient feedback to inform real-time improvements (Royse et al., 2016). Likewise, the formats c</w:t>
      </w:r>
      <w:r w:rsidR="009613BD">
        <w:t>ould</w:t>
      </w:r>
      <w:r w:rsidR="00E834B9" w:rsidRPr="00E834B9">
        <w:t xml:space="preserve"> help provide planned actions and improved performance monitoring (Royse et al., 2016). </w:t>
      </w:r>
    </w:p>
    <w:p w14:paraId="46A9175F" w14:textId="32F87D16" w:rsidR="00E834B9" w:rsidRPr="00E834B9" w:rsidRDefault="00E834B9" w:rsidP="00E834B9">
      <w:r w:rsidRPr="00E834B9">
        <w:t>            On the other hand, external reporting use</w:t>
      </w:r>
      <w:r w:rsidR="009613BD">
        <w:t>d</w:t>
      </w:r>
      <w:r w:rsidRPr="00E834B9">
        <w:t xml:space="preserve"> summaries of key findings such as infographics, executive briefs, and peer-reviewed documents. These </w:t>
      </w:r>
      <w:r w:rsidR="009613BD">
        <w:t>were</w:t>
      </w:r>
      <w:r w:rsidRPr="00E834B9">
        <w:t xml:space="preserve"> then shared with the hospital's board members, community pharmacy partners, and public health stakeholders. These materials </w:t>
      </w:r>
      <w:r w:rsidR="009613BD">
        <w:t>were</w:t>
      </w:r>
      <w:r w:rsidRPr="00E834B9">
        <w:t xml:space="preserve"> used to understand the measurable gains in readmission prevention, medication error reduction, and patient involvement. Likewise, public distribution occurs through manuscript submissions and conference presentations. </w:t>
      </w:r>
      <w:proofErr w:type="spellStart"/>
      <w:r w:rsidRPr="00E834B9">
        <w:t>Murteira</w:t>
      </w:r>
      <w:proofErr w:type="spellEnd"/>
      <w:r w:rsidRPr="00E834B9">
        <w:t xml:space="preserve"> et al.'s (2022) study support</w:t>
      </w:r>
      <w:r w:rsidR="009613BD">
        <w:t>ed</w:t>
      </w:r>
      <w:r w:rsidRPr="00E834B9">
        <w:t xml:space="preserve"> the idea of using external reports to broaden program visual understandings and support systematic learning. </w:t>
      </w:r>
    </w:p>
    <w:p w14:paraId="69C42CCF" w14:textId="4373E1EF" w:rsidR="00E834B9" w:rsidRPr="00E834B9" w:rsidRDefault="00E834B9" w:rsidP="00E834B9">
      <w:pPr>
        <w:ind w:firstLine="720"/>
      </w:pPr>
      <w:r w:rsidRPr="00E834B9">
        <w:t>Overall, the reporting factors c</w:t>
      </w:r>
      <w:r w:rsidR="009613BD">
        <w:t>ould</w:t>
      </w:r>
      <w:r w:rsidRPr="00E834B9">
        <w:t xml:space="preserve"> promote different ways of including accountability and make sure that evaluation results lead to improvements in evidence-based practices, such as those in hospitals and community pharmacy systems.</w:t>
      </w:r>
    </w:p>
    <w:p w14:paraId="51B51031" w14:textId="618C9886" w:rsidR="00FE3D31" w:rsidRDefault="00E50122" w:rsidP="00E834B9">
      <w:pPr>
        <w:jc w:val="center"/>
        <w:rPr>
          <w:b/>
          <w:bCs/>
        </w:rPr>
      </w:pPr>
      <w:r w:rsidRPr="00E50122">
        <w:rPr>
          <w:b/>
          <w:bCs/>
        </w:rPr>
        <w:lastRenderedPageBreak/>
        <w:t xml:space="preserve">Communication Plan </w:t>
      </w:r>
      <w:proofErr w:type="gramStart"/>
      <w:r w:rsidRPr="00E50122">
        <w:rPr>
          <w:b/>
          <w:bCs/>
        </w:rPr>
        <w:t>of</w:t>
      </w:r>
      <w:proofErr w:type="gramEnd"/>
      <w:r w:rsidRPr="00E50122">
        <w:rPr>
          <w:b/>
          <w:bCs/>
        </w:rPr>
        <w:t xml:space="preserve"> Key Results</w:t>
      </w:r>
    </w:p>
    <w:p w14:paraId="64360221" w14:textId="33E1586A" w:rsidR="00E50122" w:rsidRDefault="00E50122" w:rsidP="00E50122">
      <w:pPr>
        <w:rPr>
          <w:b/>
          <w:bCs/>
        </w:rPr>
      </w:pPr>
      <w:r>
        <w:rPr>
          <w:b/>
          <w:bCs/>
        </w:rPr>
        <w:t>Internal Communication Strategy</w:t>
      </w:r>
    </w:p>
    <w:p w14:paraId="3D7F5BB8" w14:textId="061366F3" w:rsidR="00A73D47" w:rsidRPr="00A73D47" w:rsidRDefault="00A73D47" w:rsidP="00A73D47">
      <w:pPr>
        <w:ind w:firstLine="720"/>
      </w:pPr>
      <w:r w:rsidRPr="00A73D47">
        <w:t xml:space="preserve">The communication plan </w:t>
      </w:r>
      <w:r w:rsidR="009613BD">
        <w:t>was</w:t>
      </w:r>
      <w:r w:rsidR="001468BB">
        <w:t xml:space="preserve"> to</w:t>
      </w:r>
      <w:r w:rsidRPr="00A73D47">
        <w:t xml:space="preserve"> </w:t>
      </w:r>
      <w:r w:rsidR="001468BB" w:rsidRPr="00A73D47">
        <w:t>build</w:t>
      </w:r>
      <w:r w:rsidRPr="00A73D47">
        <w:t xml:space="preserve"> upon the program's internal network and collaborative structure that </w:t>
      </w:r>
      <w:r w:rsidR="001468BB">
        <w:t>were</w:t>
      </w:r>
      <w:r w:rsidRPr="00A73D47">
        <w:t xml:space="preserve"> outlined in the program description section of the evaluation proposal. This network use</w:t>
      </w:r>
      <w:r w:rsidR="001468BB">
        <w:t>d</w:t>
      </w:r>
      <w:r w:rsidRPr="00A73D47">
        <w:t xml:space="preserve"> pharmacists, discharge planners, case managers, EHR specialists, and other community pharmacy partners to help ensure that the evaluation findings are effectively distributed and acted upon accordingly (Cerqueira et al., 2023). Internally, the communication of results involved a structured team that breaks down the material during monthly pharmacy department meetings. Quarterly reports </w:t>
      </w:r>
      <w:r w:rsidR="001468BB">
        <w:t>were</w:t>
      </w:r>
      <w:r w:rsidRPr="00A73D47">
        <w:t xml:space="preserve"> presented to senior hospital administrators to inform the strategy of the decisions and workplace planning (Royse et al., 2016). </w:t>
      </w:r>
    </w:p>
    <w:p w14:paraId="59EE880B" w14:textId="5A4EADF5" w:rsidR="00A73D47" w:rsidRPr="00A73D47" w:rsidRDefault="00A73D47" w:rsidP="00A73D47">
      <w:r w:rsidRPr="00A73D47">
        <w:t xml:space="preserve">            Dashboards </w:t>
      </w:r>
      <w:r w:rsidR="001468BB">
        <w:t>were</w:t>
      </w:r>
      <w:r w:rsidRPr="00A73D47">
        <w:t xml:space="preserve"> used for a visualization of trends in DMR completion, pharmacist workload, medication errors, and patient satisfaction. Green et al. (2024) mention</w:t>
      </w:r>
      <w:r w:rsidR="001468BB">
        <w:t>ed</w:t>
      </w:r>
      <w:r w:rsidRPr="00A73D47">
        <w:t xml:space="preserve"> that data visualization </w:t>
      </w:r>
      <w:r w:rsidR="001468BB">
        <w:t>was</w:t>
      </w:r>
      <w:r w:rsidRPr="00A73D47">
        <w:t xml:space="preserve"> needed for real-time feedback and decision-making. Likewise, team huddles use</w:t>
      </w:r>
      <w:r w:rsidR="001468BB">
        <w:t>d</w:t>
      </w:r>
      <w:r w:rsidRPr="00A73D47">
        <w:t xml:space="preserve"> this information to support any changes in processes and resource time distribution. In addition, internal newsletters </w:t>
      </w:r>
      <w:proofErr w:type="gramStart"/>
      <w:r w:rsidRPr="00A73D47">
        <w:t>are able to</w:t>
      </w:r>
      <w:proofErr w:type="gramEnd"/>
      <w:r w:rsidRPr="00A73D47">
        <w:t xml:space="preserve"> summarize the necessities for all pharmacy personnel, ensuring the awareness of performance measures. This show</w:t>
      </w:r>
      <w:r w:rsidR="001468BB">
        <w:t>ed</w:t>
      </w:r>
      <w:r w:rsidRPr="00A73D47">
        <w:t xml:space="preserve"> that performance measures </w:t>
      </w:r>
      <w:r w:rsidR="001468BB">
        <w:t xml:space="preserve">were </w:t>
      </w:r>
      <w:r w:rsidRPr="00A73D47">
        <w:t xml:space="preserve">discussed openly to make sure there </w:t>
      </w:r>
      <w:r w:rsidR="001468BB" w:rsidRPr="00A73D47">
        <w:t>c</w:t>
      </w:r>
      <w:r w:rsidR="001468BB">
        <w:t>an</w:t>
      </w:r>
      <w:r w:rsidRPr="00A73D47">
        <w:t xml:space="preserve"> be improvements and allow for progression toward the goal.</w:t>
      </w:r>
    </w:p>
    <w:p w14:paraId="661DEFCC" w14:textId="03FE98EF" w:rsidR="00A73D47" w:rsidRPr="001468BB" w:rsidRDefault="00A73D47" w:rsidP="00827EA8">
      <w:pPr>
        <w:rPr>
          <w:rFonts w:eastAsiaTheme="majorEastAsia"/>
          <w:szCs w:val="28"/>
        </w:rPr>
      </w:pPr>
      <w:r w:rsidRPr="00A73D47">
        <w:t xml:space="preserve">            Workshops and staff development sessions </w:t>
      </w:r>
      <w:r w:rsidR="001468BB">
        <w:t>were</w:t>
      </w:r>
      <w:r w:rsidRPr="00A73D47">
        <w:t xml:space="preserve"> scheduled semi-annually to review the results and daily practices within the broader organization's goals. These sessions allow</w:t>
      </w:r>
      <w:r w:rsidR="001468BB">
        <w:t>ed</w:t>
      </w:r>
      <w:r w:rsidRPr="00A73D47">
        <w:t xml:space="preserve"> the network partners to include case learning, workflow challenges, and build upon a collaborative </w:t>
      </w:r>
      <w:r w:rsidRPr="00A73D47">
        <w:lastRenderedPageBreak/>
        <w:t xml:space="preserve">framework or solutions. The findings </w:t>
      </w:r>
      <w:r w:rsidR="001468BB">
        <w:t>were</w:t>
      </w:r>
      <w:r w:rsidRPr="00A73D47">
        <w:t xml:space="preserve"> documented and connected to improving the evaluation program (McCleery et al., 2024).</w:t>
      </w:r>
    </w:p>
    <w:p w14:paraId="62178EA0" w14:textId="50D3BD9C" w:rsidR="00827EA8" w:rsidRDefault="00827EA8" w:rsidP="00827EA8">
      <w:pPr>
        <w:rPr>
          <w:rFonts w:eastAsiaTheme="majorEastAsia"/>
          <w:szCs w:val="28"/>
        </w:rPr>
      </w:pPr>
      <w:r w:rsidRPr="00827EA8">
        <w:rPr>
          <w:rFonts w:eastAsiaTheme="majorEastAsia"/>
          <w:b/>
          <w:bCs/>
          <w:szCs w:val="28"/>
        </w:rPr>
        <w:t>External Communication Strategy</w:t>
      </w:r>
    </w:p>
    <w:p w14:paraId="7608F059" w14:textId="4B7CF84A" w:rsidR="00B31AB8" w:rsidRPr="00B31AB8" w:rsidRDefault="00B31AB8" w:rsidP="00B31AB8">
      <w:pPr>
        <w:rPr>
          <w:rFonts w:eastAsiaTheme="majorEastAsia"/>
          <w:szCs w:val="28"/>
        </w:rPr>
      </w:pPr>
      <w:r>
        <w:rPr>
          <w:rFonts w:eastAsiaTheme="majorEastAsia"/>
          <w:szCs w:val="28"/>
        </w:rPr>
        <w:tab/>
      </w:r>
      <w:r w:rsidRPr="00B31AB8">
        <w:rPr>
          <w:rFonts w:eastAsiaTheme="majorEastAsia"/>
          <w:szCs w:val="28"/>
        </w:rPr>
        <w:t>The external communication strategy targets community pharmacy partners, hospital board members, funders, and public health stakeholders. For pharmacy partners, the evaluation team need</w:t>
      </w:r>
      <w:r w:rsidR="001468BB">
        <w:rPr>
          <w:rFonts w:eastAsiaTheme="majorEastAsia"/>
          <w:szCs w:val="28"/>
        </w:rPr>
        <w:t>ed</w:t>
      </w:r>
      <w:r w:rsidRPr="00B31AB8">
        <w:rPr>
          <w:rFonts w:eastAsiaTheme="majorEastAsia"/>
          <w:szCs w:val="28"/>
        </w:rPr>
        <w:t xml:space="preserve"> to prepare a detailed summary explaining how medication handoff improvements and patient safety outcomes are shared during meetings and follow-up communications. This </w:t>
      </w:r>
      <w:r w:rsidR="000142AD">
        <w:rPr>
          <w:rFonts w:eastAsiaTheme="majorEastAsia"/>
          <w:szCs w:val="28"/>
        </w:rPr>
        <w:t xml:space="preserve">could </w:t>
      </w:r>
      <w:r w:rsidRPr="00B31AB8">
        <w:rPr>
          <w:rFonts w:eastAsiaTheme="majorEastAsia"/>
          <w:szCs w:val="28"/>
        </w:rPr>
        <w:t xml:space="preserve">help with the evaluation program for Hope Valley Regional Hospital during collaborative meetings or follow-up calls. As a result of the timely reports, it helped sustain a professional flow, relationship, and improved the discharge continuity (Cossette et al., 2021). </w:t>
      </w:r>
    </w:p>
    <w:p w14:paraId="4FF98EA0" w14:textId="603CDD24" w:rsidR="00B31AB8" w:rsidRPr="00B31AB8" w:rsidRDefault="00B31AB8" w:rsidP="00B31AB8">
      <w:pPr>
        <w:ind w:firstLine="720"/>
        <w:rPr>
          <w:rFonts w:eastAsiaTheme="majorEastAsia"/>
          <w:szCs w:val="28"/>
        </w:rPr>
      </w:pPr>
      <w:r w:rsidRPr="00B31AB8">
        <w:rPr>
          <w:rFonts w:eastAsiaTheme="majorEastAsia"/>
          <w:szCs w:val="28"/>
        </w:rPr>
        <w:t>For hospital board members and public stakeholders, an official guide and infographics presenting data on readmission prevention, medication safety interventions, and patient-reported outcomes. These factors c</w:t>
      </w:r>
      <w:r w:rsidR="000142AD">
        <w:rPr>
          <w:rFonts w:eastAsiaTheme="majorEastAsia"/>
          <w:szCs w:val="28"/>
        </w:rPr>
        <w:t>ould</w:t>
      </w:r>
      <w:r w:rsidRPr="00B31AB8">
        <w:rPr>
          <w:rFonts w:eastAsiaTheme="majorEastAsia"/>
          <w:szCs w:val="28"/>
        </w:rPr>
        <w:t xml:space="preserve"> be discussed in the quarterly board meetings and stakeholder forums. </w:t>
      </w:r>
      <w:proofErr w:type="spellStart"/>
      <w:r w:rsidRPr="00B31AB8">
        <w:rPr>
          <w:rFonts w:eastAsiaTheme="majorEastAsia"/>
          <w:szCs w:val="28"/>
        </w:rPr>
        <w:t>Balayssac</w:t>
      </w:r>
      <w:proofErr w:type="spellEnd"/>
      <w:r w:rsidRPr="00B31AB8">
        <w:rPr>
          <w:rFonts w:eastAsiaTheme="majorEastAsia"/>
          <w:szCs w:val="28"/>
        </w:rPr>
        <w:t xml:space="preserve"> et al.'s (2023) study support</w:t>
      </w:r>
      <w:r w:rsidR="000142AD">
        <w:rPr>
          <w:rFonts w:eastAsiaTheme="majorEastAsia"/>
          <w:szCs w:val="28"/>
        </w:rPr>
        <w:t>ed</w:t>
      </w:r>
      <w:r w:rsidRPr="00B31AB8">
        <w:rPr>
          <w:rFonts w:eastAsiaTheme="majorEastAsia"/>
          <w:szCs w:val="28"/>
        </w:rPr>
        <w:t xml:space="preserve"> the use of patient-centered outcome reporting to understand the impact of pharmaceutical programs. Additionally, visual dashboards help patients and visitors understand the materials and enhance their perception of pharmacy interventions (Cerqueira et al., 2023). These infographics show</w:t>
      </w:r>
      <w:r w:rsidR="000142AD">
        <w:rPr>
          <w:rFonts w:eastAsiaTheme="majorEastAsia"/>
          <w:szCs w:val="28"/>
        </w:rPr>
        <w:t>ed</w:t>
      </w:r>
      <w:r w:rsidRPr="00B31AB8">
        <w:rPr>
          <w:rFonts w:eastAsiaTheme="majorEastAsia"/>
          <w:szCs w:val="28"/>
        </w:rPr>
        <w:t xml:space="preserve"> that the engagement among senior leadership in healthcare settings c</w:t>
      </w:r>
      <w:r w:rsidR="000142AD">
        <w:rPr>
          <w:rFonts w:eastAsiaTheme="majorEastAsia"/>
          <w:szCs w:val="28"/>
        </w:rPr>
        <w:t>ould</w:t>
      </w:r>
      <w:r w:rsidRPr="00B31AB8">
        <w:rPr>
          <w:rFonts w:eastAsiaTheme="majorEastAsia"/>
          <w:szCs w:val="28"/>
        </w:rPr>
        <w:t xml:space="preserve"> be improved (Green et al., 2024). </w:t>
      </w:r>
    </w:p>
    <w:p w14:paraId="600E0499" w14:textId="76C8B614" w:rsidR="00B31AB8" w:rsidRDefault="00B31AB8" w:rsidP="00B31AB8">
      <w:pPr>
        <w:ind w:firstLine="720"/>
        <w:rPr>
          <w:rFonts w:eastAsiaTheme="majorEastAsia"/>
          <w:szCs w:val="28"/>
        </w:rPr>
      </w:pPr>
      <w:r w:rsidRPr="00B31AB8">
        <w:rPr>
          <w:rFonts w:eastAsiaTheme="majorEastAsia"/>
          <w:szCs w:val="28"/>
        </w:rPr>
        <w:t>To engage with the broader community and professional networks, communication through peer-reviewed journals, local public health newsletters, and presentations at state and national conferences (</w:t>
      </w:r>
      <w:proofErr w:type="spellStart"/>
      <w:r w:rsidRPr="00B31AB8">
        <w:rPr>
          <w:rFonts w:eastAsiaTheme="majorEastAsia"/>
          <w:szCs w:val="28"/>
        </w:rPr>
        <w:t>Herledan</w:t>
      </w:r>
      <w:proofErr w:type="spellEnd"/>
      <w:r w:rsidRPr="00B31AB8">
        <w:rPr>
          <w:rFonts w:eastAsiaTheme="majorEastAsia"/>
          <w:szCs w:val="28"/>
        </w:rPr>
        <w:t xml:space="preserve"> et al., 2024). Cerqueira et al. (2023) suggested that there should be transparency of knowledge transitions in a hospital pharmacy setting, as it c</w:t>
      </w:r>
      <w:r w:rsidR="000142AD">
        <w:rPr>
          <w:rFonts w:eastAsiaTheme="majorEastAsia"/>
          <w:szCs w:val="28"/>
        </w:rPr>
        <w:t>ould</w:t>
      </w:r>
      <w:r w:rsidRPr="00B31AB8">
        <w:rPr>
          <w:rFonts w:eastAsiaTheme="majorEastAsia"/>
          <w:szCs w:val="28"/>
        </w:rPr>
        <w:t xml:space="preserve"> promote credibility and provide policy-level changes. Likewise, Green et al.'s (2024) study show</w:t>
      </w:r>
      <w:r w:rsidR="000142AD">
        <w:rPr>
          <w:rFonts w:eastAsiaTheme="majorEastAsia"/>
          <w:szCs w:val="28"/>
        </w:rPr>
        <w:t>ed</w:t>
      </w:r>
      <w:r w:rsidRPr="00B31AB8">
        <w:rPr>
          <w:rFonts w:eastAsiaTheme="majorEastAsia"/>
          <w:szCs w:val="28"/>
        </w:rPr>
        <w:t xml:space="preserve"> that </w:t>
      </w:r>
      <w:r w:rsidRPr="00B31AB8">
        <w:rPr>
          <w:rFonts w:eastAsiaTheme="majorEastAsia"/>
          <w:szCs w:val="28"/>
        </w:rPr>
        <w:lastRenderedPageBreak/>
        <w:t xml:space="preserve">when the results </w:t>
      </w:r>
      <w:r w:rsidR="000142AD">
        <w:rPr>
          <w:rFonts w:eastAsiaTheme="majorEastAsia"/>
          <w:szCs w:val="28"/>
        </w:rPr>
        <w:t>were</w:t>
      </w:r>
      <w:r w:rsidRPr="00B31AB8">
        <w:rPr>
          <w:rFonts w:eastAsiaTheme="majorEastAsia"/>
          <w:szCs w:val="28"/>
        </w:rPr>
        <w:t xml:space="preserve"> communicated visually and among each other, the leadership engagement increases across healthcare systems.</w:t>
      </w:r>
    </w:p>
    <w:p w14:paraId="4619D011" w14:textId="69E0619F" w:rsidR="000F5FE2" w:rsidRDefault="000F5FE2" w:rsidP="00E53A33">
      <w:pPr>
        <w:rPr>
          <w:rFonts w:eastAsiaTheme="majorEastAsia"/>
          <w:b/>
          <w:bCs/>
          <w:szCs w:val="28"/>
        </w:rPr>
      </w:pPr>
      <w:r>
        <w:rPr>
          <w:rFonts w:eastAsiaTheme="majorEastAsia"/>
          <w:b/>
          <w:bCs/>
          <w:szCs w:val="28"/>
        </w:rPr>
        <w:t>Stakeholders Feedback Integration</w:t>
      </w:r>
    </w:p>
    <w:p w14:paraId="7C4D21C5" w14:textId="6CA140E3" w:rsidR="00F43ED3" w:rsidRPr="00F43ED3" w:rsidRDefault="000F5FE2" w:rsidP="00F43ED3">
      <w:pPr>
        <w:rPr>
          <w:rFonts w:eastAsiaTheme="majorEastAsia"/>
          <w:szCs w:val="28"/>
        </w:rPr>
      </w:pPr>
      <w:r>
        <w:rPr>
          <w:rFonts w:eastAsiaTheme="majorEastAsia"/>
          <w:b/>
          <w:bCs/>
          <w:szCs w:val="28"/>
        </w:rPr>
        <w:tab/>
      </w:r>
      <w:r w:rsidR="00F43ED3" w:rsidRPr="00F43ED3">
        <w:rPr>
          <w:rFonts w:eastAsiaTheme="majorEastAsia"/>
          <w:szCs w:val="28"/>
        </w:rPr>
        <w:t xml:space="preserve">Hope Valley's communication strategy </w:t>
      </w:r>
      <w:proofErr w:type="gramStart"/>
      <w:r w:rsidR="00F43ED3" w:rsidRPr="00F43ED3">
        <w:rPr>
          <w:rFonts w:eastAsiaTheme="majorEastAsia"/>
          <w:szCs w:val="28"/>
        </w:rPr>
        <w:t>include</w:t>
      </w:r>
      <w:r w:rsidR="000142AD">
        <w:rPr>
          <w:rFonts w:eastAsiaTheme="majorEastAsia"/>
          <w:szCs w:val="28"/>
        </w:rPr>
        <w:t>d</w:t>
      </w:r>
      <w:proofErr w:type="gramEnd"/>
      <w:r w:rsidR="00F43ED3" w:rsidRPr="00F43ED3">
        <w:rPr>
          <w:rFonts w:eastAsiaTheme="majorEastAsia"/>
          <w:szCs w:val="28"/>
        </w:rPr>
        <w:t xml:space="preserve"> different ways </w:t>
      </w:r>
      <w:proofErr w:type="gramStart"/>
      <w:r w:rsidR="00F43ED3" w:rsidRPr="00F43ED3">
        <w:rPr>
          <w:rFonts w:eastAsiaTheme="majorEastAsia"/>
          <w:szCs w:val="28"/>
        </w:rPr>
        <w:t>for</w:t>
      </w:r>
      <w:proofErr w:type="gramEnd"/>
      <w:r w:rsidR="00F43ED3" w:rsidRPr="00F43ED3">
        <w:rPr>
          <w:rFonts w:eastAsiaTheme="majorEastAsia"/>
          <w:szCs w:val="28"/>
        </w:rPr>
        <w:t xml:space="preserve"> gathering structured feedback from each stakeholder group to help make sure that reported results </w:t>
      </w:r>
      <w:r w:rsidR="000142AD">
        <w:rPr>
          <w:rFonts w:eastAsiaTheme="majorEastAsia"/>
          <w:szCs w:val="28"/>
        </w:rPr>
        <w:t>were</w:t>
      </w:r>
      <w:r w:rsidR="00F43ED3" w:rsidRPr="00F43ED3">
        <w:rPr>
          <w:rFonts w:eastAsiaTheme="majorEastAsia"/>
          <w:szCs w:val="28"/>
        </w:rPr>
        <w:t xml:space="preserve"> able to lead to improvements. For example, community pharmacy partners </w:t>
      </w:r>
      <w:r w:rsidR="000142AD">
        <w:rPr>
          <w:rFonts w:eastAsiaTheme="majorEastAsia"/>
          <w:szCs w:val="28"/>
        </w:rPr>
        <w:t>were</w:t>
      </w:r>
      <w:r w:rsidR="00F43ED3" w:rsidRPr="00F43ED3">
        <w:rPr>
          <w:rFonts w:eastAsiaTheme="majorEastAsia"/>
          <w:szCs w:val="28"/>
        </w:rPr>
        <w:t xml:space="preserve"> invited to complete biannual partner surveys, which c</w:t>
      </w:r>
      <w:r w:rsidR="000142AD">
        <w:rPr>
          <w:rFonts w:eastAsiaTheme="majorEastAsia"/>
          <w:szCs w:val="28"/>
        </w:rPr>
        <w:t>ould</w:t>
      </w:r>
      <w:r w:rsidR="00F43ED3" w:rsidRPr="00F43ED3">
        <w:rPr>
          <w:rFonts w:eastAsiaTheme="majorEastAsia"/>
          <w:szCs w:val="28"/>
        </w:rPr>
        <w:t xml:space="preserve"> collect feedback on the discharge handoff efficiency, patient information clarity, and overall collaboration (Cornelissen et al., 2022). This feedback </w:t>
      </w:r>
      <w:r w:rsidR="000142AD">
        <w:rPr>
          <w:rFonts w:eastAsiaTheme="majorEastAsia"/>
          <w:szCs w:val="28"/>
        </w:rPr>
        <w:t>was</w:t>
      </w:r>
      <w:r w:rsidR="00F43ED3" w:rsidRPr="00F43ED3">
        <w:rPr>
          <w:rFonts w:eastAsiaTheme="majorEastAsia"/>
          <w:szCs w:val="28"/>
        </w:rPr>
        <w:t xml:space="preserve"> connected by the evaluation team and presented to the pharmacy leadership groups for applying their action recommendations.</w:t>
      </w:r>
    </w:p>
    <w:p w14:paraId="36158159" w14:textId="7F9574CF" w:rsidR="00F43ED3" w:rsidRPr="00F43ED3" w:rsidRDefault="00F43ED3" w:rsidP="00F43ED3">
      <w:pPr>
        <w:ind w:firstLine="720"/>
        <w:rPr>
          <w:rFonts w:eastAsiaTheme="majorEastAsia"/>
          <w:szCs w:val="28"/>
        </w:rPr>
      </w:pPr>
      <w:r w:rsidRPr="00F43ED3">
        <w:rPr>
          <w:rFonts w:eastAsiaTheme="majorEastAsia"/>
          <w:szCs w:val="28"/>
        </w:rPr>
        <w:t xml:space="preserve">Board members and public health officials </w:t>
      </w:r>
      <w:r w:rsidR="000142AD">
        <w:rPr>
          <w:rFonts w:eastAsiaTheme="majorEastAsia"/>
          <w:szCs w:val="28"/>
        </w:rPr>
        <w:t>were</w:t>
      </w:r>
      <w:r w:rsidRPr="00F43ED3">
        <w:rPr>
          <w:rFonts w:eastAsiaTheme="majorEastAsia"/>
          <w:szCs w:val="28"/>
        </w:rPr>
        <w:t xml:space="preserve"> also surveyed post-report using a short electronic instrument focusing on relevance, accessibility, and application of shared data. This c</w:t>
      </w:r>
      <w:r w:rsidR="000142AD">
        <w:rPr>
          <w:rFonts w:eastAsiaTheme="majorEastAsia"/>
          <w:szCs w:val="28"/>
        </w:rPr>
        <w:t>ould</w:t>
      </w:r>
      <w:r w:rsidRPr="00F43ED3">
        <w:rPr>
          <w:rFonts w:eastAsiaTheme="majorEastAsia"/>
          <w:szCs w:val="28"/>
        </w:rPr>
        <w:t xml:space="preserve"> be supported by Green et al. (2024), who state that stakeholder involvement c</w:t>
      </w:r>
      <w:r w:rsidR="000142AD">
        <w:rPr>
          <w:rFonts w:eastAsiaTheme="majorEastAsia"/>
          <w:szCs w:val="28"/>
        </w:rPr>
        <w:t>ould</w:t>
      </w:r>
      <w:r w:rsidRPr="00F43ED3">
        <w:rPr>
          <w:rFonts w:eastAsiaTheme="majorEastAsia"/>
          <w:szCs w:val="28"/>
        </w:rPr>
        <w:t xml:space="preserve"> improve communication and accountability. As a result, incorporating feedback c</w:t>
      </w:r>
      <w:r w:rsidR="000142AD">
        <w:rPr>
          <w:rFonts w:eastAsiaTheme="majorEastAsia"/>
          <w:szCs w:val="28"/>
        </w:rPr>
        <w:t>ould</w:t>
      </w:r>
      <w:r w:rsidRPr="00F43ED3">
        <w:rPr>
          <w:rFonts w:eastAsiaTheme="majorEastAsia"/>
          <w:szCs w:val="28"/>
        </w:rPr>
        <w:t xml:space="preserve"> help benefit the evaluation program by using a participatory model and </w:t>
      </w:r>
      <w:r w:rsidR="000142AD" w:rsidRPr="00F43ED3">
        <w:rPr>
          <w:rFonts w:eastAsiaTheme="majorEastAsia"/>
          <w:szCs w:val="28"/>
        </w:rPr>
        <w:t>building</w:t>
      </w:r>
      <w:r w:rsidRPr="00F43ED3">
        <w:rPr>
          <w:rFonts w:eastAsiaTheme="majorEastAsia"/>
          <w:szCs w:val="28"/>
        </w:rPr>
        <w:t xml:space="preserve"> trust with external stakeholders.</w:t>
      </w:r>
    </w:p>
    <w:p w14:paraId="33CD2F25" w14:textId="1C7C30B3" w:rsidR="000F5FE2" w:rsidRPr="00086151" w:rsidRDefault="00F43ED3" w:rsidP="00F43ED3">
      <w:pPr>
        <w:ind w:firstLine="720"/>
        <w:rPr>
          <w:rFonts w:eastAsiaTheme="majorEastAsia"/>
          <w:szCs w:val="28"/>
        </w:rPr>
      </w:pPr>
      <w:r w:rsidRPr="00F43ED3">
        <w:rPr>
          <w:rFonts w:eastAsiaTheme="majorEastAsia"/>
          <w:szCs w:val="28"/>
        </w:rPr>
        <w:t xml:space="preserve">For patients, open-ended responses from discharge satisfaction surveys </w:t>
      </w:r>
      <w:r w:rsidR="000142AD">
        <w:rPr>
          <w:rFonts w:eastAsiaTheme="majorEastAsia"/>
          <w:szCs w:val="28"/>
        </w:rPr>
        <w:t>were</w:t>
      </w:r>
      <w:r w:rsidRPr="00F43ED3">
        <w:rPr>
          <w:rFonts w:eastAsiaTheme="majorEastAsia"/>
          <w:szCs w:val="28"/>
        </w:rPr>
        <w:t xml:space="preserve"> reviewed by a treatment planning team. This can be helpful as the team can notice if any patterns in patient comments </w:t>
      </w:r>
      <w:r w:rsidR="000142AD">
        <w:rPr>
          <w:rFonts w:eastAsiaTheme="majorEastAsia"/>
          <w:szCs w:val="28"/>
        </w:rPr>
        <w:t>were</w:t>
      </w:r>
      <w:r w:rsidRPr="00F43ED3">
        <w:rPr>
          <w:rFonts w:eastAsiaTheme="majorEastAsia"/>
          <w:szCs w:val="28"/>
        </w:rPr>
        <w:t xml:space="preserve"> tracked using thematic analysis and visualized in quarterly patient experience briefs (</w:t>
      </w:r>
      <w:proofErr w:type="spellStart"/>
      <w:r w:rsidRPr="00F43ED3">
        <w:rPr>
          <w:rFonts w:eastAsiaTheme="majorEastAsia"/>
          <w:szCs w:val="28"/>
        </w:rPr>
        <w:t>Balayssac</w:t>
      </w:r>
      <w:proofErr w:type="spellEnd"/>
      <w:r w:rsidRPr="00F43ED3">
        <w:rPr>
          <w:rFonts w:eastAsiaTheme="majorEastAsia"/>
          <w:szCs w:val="28"/>
        </w:rPr>
        <w:t xml:space="preserve"> et al., 2023). Likewise, using feedback loops c</w:t>
      </w:r>
      <w:r w:rsidR="000142AD">
        <w:rPr>
          <w:rFonts w:eastAsiaTheme="majorEastAsia"/>
          <w:szCs w:val="28"/>
        </w:rPr>
        <w:t xml:space="preserve">ould </w:t>
      </w:r>
      <w:r w:rsidRPr="00F43ED3">
        <w:rPr>
          <w:rFonts w:eastAsiaTheme="majorEastAsia"/>
          <w:szCs w:val="28"/>
        </w:rPr>
        <w:t>ensure that the community's voices help</w:t>
      </w:r>
      <w:r w:rsidR="000142AD">
        <w:rPr>
          <w:rFonts w:eastAsiaTheme="majorEastAsia"/>
          <w:szCs w:val="28"/>
        </w:rPr>
        <w:t>ed</w:t>
      </w:r>
      <w:r w:rsidRPr="00F43ED3">
        <w:rPr>
          <w:rFonts w:eastAsiaTheme="majorEastAsia"/>
          <w:szCs w:val="28"/>
        </w:rPr>
        <w:t xml:space="preserve"> </w:t>
      </w:r>
      <w:r w:rsidR="000142AD" w:rsidRPr="00F43ED3">
        <w:rPr>
          <w:rFonts w:eastAsiaTheme="majorEastAsia"/>
          <w:szCs w:val="28"/>
        </w:rPr>
        <w:t>inform</w:t>
      </w:r>
      <w:r w:rsidRPr="00F43ED3">
        <w:rPr>
          <w:rFonts w:eastAsiaTheme="majorEastAsia"/>
          <w:szCs w:val="28"/>
        </w:rPr>
        <w:t xml:space="preserve"> improvements for adjustments to communication and care practices.</w:t>
      </w:r>
    </w:p>
    <w:p w14:paraId="61F86CF9" w14:textId="0B1F2D4E" w:rsidR="00E53A33" w:rsidRPr="00E53A33" w:rsidRDefault="00E53A33" w:rsidP="00E53A33">
      <w:pPr>
        <w:rPr>
          <w:rFonts w:eastAsiaTheme="majorEastAsia"/>
          <w:b/>
          <w:bCs/>
          <w:szCs w:val="28"/>
        </w:rPr>
      </w:pPr>
      <w:r w:rsidRPr="00E53A33">
        <w:rPr>
          <w:rFonts w:eastAsiaTheme="majorEastAsia"/>
          <w:b/>
          <w:bCs/>
          <w:szCs w:val="28"/>
        </w:rPr>
        <w:t>Funders and Grant Communication</w:t>
      </w:r>
    </w:p>
    <w:p w14:paraId="1D1FCF3A" w14:textId="7F9D2E44" w:rsidR="008C58C4" w:rsidRPr="008C58C4" w:rsidRDefault="008C58C4" w:rsidP="008C58C4">
      <w:pPr>
        <w:rPr>
          <w:rFonts w:eastAsiaTheme="majorEastAsia"/>
          <w:szCs w:val="28"/>
        </w:rPr>
      </w:pPr>
      <w:r>
        <w:rPr>
          <w:rFonts w:eastAsiaTheme="majorEastAsia"/>
          <w:szCs w:val="28"/>
        </w:rPr>
        <w:tab/>
      </w:r>
      <w:r w:rsidRPr="008C58C4">
        <w:rPr>
          <w:rFonts w:eastAsiaTheme="majorEastAsia"/>
          <w:szCs w:val="28"/>
        </w:rPr>
        <w:t xml:space="preserve">For current and prospective funders, </w:t>
      </w:r>
      <w:r w:rsidR="000142AD" w:rsidRPr="008C58C4">
        <w:rPr>
          <w:rFonts w:eastAsiaTheme="majorEastAsia"/>
          <w:szCs w:val="28"/>
        </w:rPr>
        <w:t>includ</w:t>
      </w:r>
      <w:r w:rsidR="000142AD">
        <w:rPr>
          <w:rFonts w:eastAsiaTheme="majorEastAsia"/>
          <w:szCs w:val="28"/>
        </w:rPr>
        <w:t>ing</w:t>
      </w:r>
      <w:r w:rsidRPr="008C58C4">
        <w:rPr>
          <w:rFonts w:eastAsiaTheme="majorEastAsia"/>
          <w:szCs w:val="28"/>
        </w:rPr>
        <w:t xml:space="preserve"> hospital finance departments, government health agencies, and private healthcare foundations, the communication plan c</w:t>
      </w:r>
      <w:r w:rsidR="000142AD">
        <w:rPr>
          <w:rFonts w:eastAsiaTheme="majorEastAsia"/>
          <w:szCs w:val="28"/>
        </w:rPr>
        <w:t>ould</w:t>
      </w:r>
      <w:r w:rsidRPr="008C58C4">
        <w:rPr>
          <w:rFonts w:eastAsiaTheme="majorEastAsia"/>
          <w:szCs w:val="28"/>
        </w:rPr>
        <w:t xml:space="preserve"> include </w:t>
      </w:r>
      <w:r w:rsidRPr="008C58C4">
        <w:rPr>
          <w:rFonts w:eastAsiaTheme="majorEastAsia"/>
          <w:szCs w:val="28"/>
        </w:rPr>
        <w:lastRenderedPageBreak/>
        <w:t>biannual outcome briefs and return-on-investment projections. These briefs c</w:t>
      </w:r>
      <w:r w:rsidR="000142AD">
        <w:rPr>
          <w:rFonts w:eastAsiaTheme="majorEastAsia"/>
          <w:szCs w:val="28"/>
        </w:rPr>
        <w:t>ould</w:t>
      </w:r>
      <w:r w:rsidRPr="008C58C4">
        <w:rPr>
          <w:rFonts w:eastAsiaTheme="majorEastAsia"/>
          <w:szCs w:val="28"/>
        </w:rPr>
        <w:t xml:space="preserve"> help improve areas such as reducing medication errors, discharge clarity, pharmacist workload balance, and successful handoffs to community pharmacies. Through </w:t>
      </w:r>
      <w:proofErr w:type="gramStart"/>
      <w:r w:rsidRPr="008C58C4">
        <w:rPr>
          <w:rFonts w:eastAsiaTheme="majorEastAsia"/>
          <w:szCs w:val="28"/>
        </w:rPr>
        <w:t>the infographics</w:t>
      </w:r>
      <w:proofErr w:type="gramEnd"/>
      <w:r w:rsidRPr="008C58C4">
        <w:rPr>
          <w:rFonts w:eastAsiaTheme="majorEastAsia"/>
          <w:szCs w:val="28"/>
        </w:rPr>
        <w:t xml:space="preserve"> and cost-saving visualization, it c</w:t>
      </w:r>
      <w:r w:rsidR="000142AD">
        <w:rPr>
          <w:rFonts w:eastAsiaTheme="majorEastAsia"/>
          <w:szCs w:val="28"/>
        </w:rPr>
        <w:t>ould</w:t>
      </w:r>
      <w:r w:rsidRPr="008C58C4">
        <w:rPr>
          <w:rFonts w:eastAsiaTheme="majorEastAsia"/>
          <w:szCs w:val="28"/>
        </w:rPr>
        <w:t xml:space="preserve"> be used as a valuable part of the pharmacy team (Newham et al., 2023).</w:t>
      </w:r>
    </w:p>
    <w:p w14:paraId="685DA674" w14:textId="3ECF705D" w:rsidR="008C58C4" w:rsidRPr="008C58C4" w:rsidRDefault="008C58C4" w:rsidP="008C58C4">
      <w:pPr>
        <w:ind w:firstLine="720"/>
        <w:rPr>
          <w:rFonts w:eastAsiaTheme="majorEastAsia"/>
          <w:szCs w:val="28"/>
        </w:rPr>
      </w:pPr>
      <w:r w:rsidRPr="008C58C4">
        <w:rPr>
          <w:rFonts w:eastAsiaTheme="majorEastAsia"/>
          <w:szCs w:val="28"/>
        </w:rPr>
        <w:t>Additionally, the evaluation team will prepare customized grant reports according to each of the funders' requirements. These requirements c</w:t>
      </w:r>
      <w:r w:rsidR="000142AD">
        <w:rPr>
          <w:rFonts w:eastAsiaTheme="majorEastAsia"/>
          <w:szCs w:val="28"/>
        </w:rPr>
        <w:t>ould</w:t>
      </w:r>
      <w:r w:rsidRPr="008C58C4">
        <w:rPr>
          <w:rFonts w:eastAsiaTheme="majorEastAsia"/>
          <w:szCs w:val="28"/>
        </w:rPr>
        <w:t xml:space="preserve"> include logic models, outcome tables, patient testimonials, and evidence of knowledge translation into staff protocols. </w:t>
      </w:r>
      <w:proofErr w:type="spellStart"/>
      <w:r w:rsidRPr="008C58C4">
        <w:rPr>
          <w:rFonts w:eastAsiaTheme="majorEastAsia"/>
          <w:szCs w:val="28"/>
        </w:rPr>
        <w:t>Herledan</w:t>
      </w:r>
      <w:proofErr w:type="spellEnd"/>
      <w:r w:rsidRPr="008C58C4">
        <w:rPr>
          <w:rFonts w:eastAsiaTheme="majorEastAsia"/>
          <w:szCs w:val="28"/>
        </w:rPr>
        <w:t xml:space="preserve"> et al.'s (2024) study show</w:t>
      </w:r>
      <w:r w:rsidR="000142AD">
        <w:rPr>
          <w:rFonts w:eastAsiaTheme="majorEastAsia"/>
          <w:szCs w:val="28"/>
        </w:rPr>
        <w:t>ed</w:t>
      </w:r>
      <w:r w:rsidRPr="008C58C4">
        <w:rPr>
          <w:rFonts w:eastAsiaTheme="majorEastAsia"/>
          <w:szCs w:val="28"/>
        </w:rPr>
        <w:t xml:space="preserve"> that understanding data reports c</w:t>
      </w:r>
      <w:r w:rsidR="000142AD">
        <w:rPr>
          <w:rFonts w:eastAsiaTheme="majorEastAsia"/>
          <w:szCs w:val="28"/>
        </w:rPr>
        <w:t>ould</w:t>
      </w:r>
      <w:r w:rsidRPr="008C58C4">
        <w:rPr>
          <w:rFonts w:eastAsiaTheme="majorEastAsia"/>
          <w:szCs w:val="28"/>
        </w:rPr>
        <w:t xml:space="preserve"> help benefit a long-term goal, including successful financial support and policy adoption.</w:t>
      </w:r>
    </w:p>
    <w:p w14:paraId="369735FD" w14:textId="320E51AF" w:rsidR="008C58C4" w:rsidRDefault="008C58C4" w:rsidP="008C58C4">
      <w:pPr>
        <w:rPr>
          <w:rFonts w:eastAsiaTheme="majorEastAsia"/>
          <w:szCs w:val="28"/>
        </w:rPr>
      </w:pPr>
      <w:r w:rsidRPr="008C58C4">
        <w:rPr>
          <w:rFonts w:eastAsiaTheme="majorEastAsia"/>
          <w:szCs w:val="28"/>
        </w:rPr>
        <w:tab/>
        <w:t xml:space="preserve">Networking with grant reviewers and funder stakeholders </w:t>
      </w:r>
      <w:r w:rsidR="000142AD">
        <w:rPr>
          <w:rFonts w:eastAsiaTheme="majorEastAsia"/>
          <w:szCs w:val="28"/>
        </w:rPr>
        <w:t>was</w:t>
      </w:r>
      <w:r w:rsidRPr="008C58C4">
        <w:rPr>
          <w:rFonts w:eastAsiaTheme="majorEastAsia"/>
          <w:szCs w:val="28"/>
        </w:rPr>
        <w:t xml:space="preserve"> also an important part of the long-term communication strategy. This c</w:t>
      </w:r>
      <w:r w:rsidR="000142AD">
        <w:rPr>
          <w:rFonts w:eastAsiaTheme="majorEastAsia"/>
          <w:szCs w:val="28"/>
        </w:rPr>
        <w:t>ould</w:t>
      </w:r>
      <w:r w:rsidRPr="008C58C4">
        <w:rPr>
          <w:rFonts w:eastAsiaTheme="majorEastAsia"/>
          <w:szCs w:val="28"/>
        </w:rPr>
        <w:t xml:space="preserve"> be achieved by inviting funders to conference presentations or evaluation briefings, which help</w:t>
      </w:r>
      <w:r w:rsidR="000142AD">
        <w:rPr>
          <w:rFonts w:eastAsiaTheme="majorEastAsia"/>
          <w:szCs w:val="28"/>
        </w:rPr>
        <w:t>ed</w:t>
      </w:r>
      <w:r w:rsidRPr="008C58C4">
        <w:rPr>
          <w:rFonts w:eastAsiaTheme="majorEastAsia"/>
          <w:szCs w:val="28"/>
        </w:rPr>
        <w:t xml:space="preserve"> build trust and </w:t>
      </w:r>
      <w:r w:rsidR="000142AD" w:rsidRPr="008C58C4">
        <w:rPr>
          <w:rFonts w:eastAsiaTheme="majorEastAsia"/>
          <w:szCs w:val="28"/>
        </w:rPr>
        <w:t>keep</w:t>
      </w:r>
      <w:r w:rsidRPr="008C58C4">
        <w:rPr>
          <w:rFonts w:eastAsiaTheme="majorEastAsia"/>
          <w:szCs w:val="28"/>
        </w:rPr>
        <w:t xml:space="preserve"> external supporters informed about the real-world and flexible outcomes (Cornelissen et al., 2022).</w:t>
      </w:r>
    </w:p>
    <w:p w14:paraId="6865CE45" w14:textId="5792D236" w:rsidR="005054EB" w:rsidRDefault="005054EB" w:rsidP="005054EB">
      <w:pPr>
        <w:rPr>
          <w:rFonts w:eastAsiaTheme="majorEastAsia"/>
          <w:b/>
          <w:bCs/>
          <w:szCs w:val="28"/>
        </w:rPr>
      </w:pPr>
      <w:r w:rsidRPr="005054EB">
        <w:rPr>
          <w:rFonts w:eastAsiaTheme="majorEastAsia"/>
          <w:b/>
          <w:bCs/>
          <w:szCs w:val="28"/>
        </w:rPr>
        <w:t>Risk Communication and Crisis Response</w:t>
      </w:r>
    </w:p>
    <w:p w14:paraId="04CDF80D" w14:textId="2BA46771" w:rsidR="001C0977" w:rsidRPr="001C0977" w:rsidRDefault="001C0977" w:rsidP="001C0977">
      <w:pPr>
        <w:rPr>
          <w:rFonts w:eastAsiaTheme="majorEastAsia"/>
          <w:szCs w:val="28"/>
        </w:rPr>
      </w:pPr>
      <w:r>
        <w:rPr>
          <w:rFonts w:eastAsiaTheme="majorEastAsia"/>
          <w:b/>
          <w:bCs/>
          <w:szCs w:val="28"/>
        </w:rPr>
        <w:tab/>
      </w:r>
      <w:r w:rsidRPr="001C0977">
        <w:rPr>
          <w:rFonts w:eastAsiaTheme="majorEastAsia"/>
          <w:szCs w:val="28"/>
        </w:rPr>
        <w:t xml:space="preserve">Suppose there </w:t>
      </w:r>
      <w:r w:rsidR="000142AD">
        <w:rPr>
          <w:rFonts w:eastAsiaTheme="majorEastAsia"/>
          <w:szCs w:val="28"/>
        </w:rPr>
        <w:t>were</w:t>
      </w:r>
      <w:r w:rsidRPr="001C0977">
        <w:rPr>
          <w:rFonts w:eastAsiaTheme="majorEastAsia"/>
          <w:szCs w:val="28"/>
        </w:rPr>
        <w:t xml:space="preserve"> unexpected findings toward the evaluation process, such as a spike in readmission rates or a pattern of severe medication errors. There </w:t>
      </w:r>
      <w:proofErr w:type="gramStart"/>
      <w:r w:rsidR="000142AD">
        <w:rPr>
          <w:rFonts w:eastAsiaTheme="majorEastAsia"/>
          <w:szCs w:val="28"/>
        </w:rPr>
        <w:t>would</w:t>
      </w:r>
      <w:proofErr w:type="gramEnd"/>
      <w:r w:rsidRPr="001C0977">
        <w:rPr>
          <w:rFonts w:eastAsiaTheme="majorEastAsia"/>
          <w:szCs w:val="28"/>
        </w:rPr>
        <w:t xml:space="preserve"> be a backup plan, which </w:t>
      </w:r>
      <w:r w:rsidR="000142AD">
        <w:rPr>
          <w:rFonts w:eastAsiaTheme="majorEastAsia"/>
          <w:szCs w:val="28"/>
        </w:rPr>
        <w:t>was</w:t>
      </w:r>
      <w:r w:rsidRPr="001C0977">
        <w:rPr>
          <w:rFonts w:eastAsiaTheme="majorEastAsia"/>
          <w:szCs w:val="28"/>
        </w:rPr>
        <w:t xml:space="preserve"> presented in the communication plan, that includes a </w:t>
      </w:r>
      <w:proofErr w:type="gramStart"/>
      <w:r w:rsidRPr="001C0977">
        <w:rPr>
          <w:rFonts w:eastAsiaTheme="majorEastAsia"/>
          <w:szCs w:val="28"/>
        </w:rPr>
        <w:t>rapid-response</w:t>
      </w:r>
      <w:proofErr w:type="gramEnd"/>
      <w:r w:rsidRPr="001C0977">
        <w:rPr>
          <w:rFonts w:eastAsiaTheme="majorEastAsia"/>
          <w:szCs w:val="28"/>
        </w:rPr>
        <w:t xml:space="preserve"> protocol. This w</w:t>
      </w:r>
      <w:r w:rsidR="000142AD">
        <w:rPr>
          <w:rFonts w:eastAsiaTheme="majorEastAsia"/>
          <w:szCs w:val="28"/>
        </w:rPr>
        <w:t xml:space="preserve">ould </w:t>
      </w:r>
      <w:r w:rsidRPr="001C0977">
        <w:rPr>
          <w:rFonts w:eastAsiaTheme="majorEastAsia"/>
          <w:szCs w:val="28"/>
        </w:rPr>
        <w:t>involve immediate reporting to the pharmacy director and executive safety group, followed by a brief within 72 hours summarizing the issue, possible causes, and proposed short-term mitigations. Dashboards are temporarily updated to include a "priority alert" zone that flags areas of concern in red.</w:t>
      </w:r>
    </w:p>
    <w:p w14:paraId="3B5A4D97" w14:textId="7B022849" w:rsidR="001C0977" w:rsidRPr="001C0977" w:rsidRDefault="001C0977" w:rsidP="001C0977">
      <w:pPr>
        <w:rPr>
          <w:rFonts w:eastAsiaTheme="majorEastAsia"/>
          <w:szCs w:val="28"/>
        </w:rPr>
      </w:pPr>
      <w:r w:rsidRPr="001C0977">
        <w:rPr>
          <w:rFonts w:eastAsiaTheme="majorEastAsia"/>
          <w:szCs w:val="28"/>
        </w:rPr>
        <w:tab/>
        <w:t>This approach w</w:t>
      </w:r>
      <w:r w:rsidR="000142AD">
        <w:rPr>
          <w:rFonts w:eastAsiaTheme="majorEastAsia"/>
          <w:szCs w:val="28"/>
        </w:rPr>
        <w:t>ould</w:t>
      </w:r>
      <w:r w:rsidRPr="001C0977">
        <w:rPr>
          <w:rFonts w:eastAsiaTheme="majorEastAsia"/>
          <w:szCs w:val="28"/>
        </w:rPr>
        <w:t xml:space="preserve"> be drawn from the crisis communication frameworks supported by Green et al. (2024), which state a shift in institutional learning. Additionally, involving </w:t>
      </w:r>
      <w:r w:rsidRPr="001C0977">
        <w:rPr>
          <w:rFonts w:eastAsiaTheme="majorEastAsia"/>
          <w:szCs w:val="28"/>
        </w:rPr>
        <w:lastRenderedPageBreak/>
        <w:t xml:space="preserve">communication specialists and patient representatives in the plan for urgent messages ensures clarity and empathy. During such events, </w:t>
      </w:r>
      <w:proofErr w:type="gramStart"/>
      <w:r w:rsidRPr="001C0977">
        <w:rPr>
          <w:rFonts w:eastAsiaTheme="majorEastAsia"/>
          <w:szCs w:val="28"/>
        </w:rPr>
        <w:t>a patient message</w:t>
      </w:r>
      <w:proofErr w:type="gramEnd"/>
      <w:r w:rsidRPr="001C0977">
        <w:rPr>
          <w:rFonts w:eastAsiaTheme="majorEastAsia"/>
          <w:szCs w:val="28"/>
        </w:rPr>
        <w:t xml:space="preserve"> should be posted online, providing transparency and resources for the affected individuals.</w:t>
      </w:r>
    </w:p>
    <w:p w14:paraId="66145D4A" w14:textId="57BB644E" w:rsidR="00E827D4" w:rsidRDefault="00E827D4" w:rsidP="00E827D4">
      <w:pPr>
        <w:rPr>
          <w:rFonts w:eastAsiaTheme="majorEastAsia"/>
          <w:b/>
          <w:bCs/>
          <w:szCs w:val="28"/>
        </w:rPr>
      </w:pPr>
      <w:r w:rsidRPr="00E827D4">
        <w:rPr>
          <w:rFonts w:eastAsiaTheme="majorEastAsia"/>
          <w:b/>
          <w:bCs/>
          <w:szCs w:val="28"/>
        </w:rPr>
        <w:t>Ethical Transparency</w:t>
      </w:r>
      <w:r w:rsidR="00A328F9">
        <w:rPr>
          <w:rFonts w:eastAsiaTheme="majorEastAsia"/>
          <w:b/>
          <w:bCs/>
          <w:szCs w:val="28"/>
        </w:rPr>
        <w:t xml:space="preserve"> and Faith-Based Values</w:t>
      </w:r>
    </w:p>
    <w:p w14:paraId="6F46889B" w14:textId="45872047" w:rsidR="00424AC7" w:rsidRPr="00424AC7" w:rsidRDefault="00A328F9" w:rsidP="00424AC7">
      <w:pPr>
        <w:rPr>
          <w:rFonts w:eastAsiaTheme="majorEastAsia"/>
          <w:szCs w:val="28"/>
        </w:rPr>
      </w:pPr>
      <w:r>
        <w:rPr>
          <w:rFonts w:eastAsiaTheme="majorEastAsia"/>
          <w:b/>
          <w:bCs/>
          <w:szCs w:val="28"/>
        </w:rPr>
        <w:tab/>
      </w:r>
      <w:r w:rsidR="00424AC7" w:rsidRPr="00424AC7">
        <w:rPr>
          <w:rFonts w:eastAsiaTheme="majorEastAsia"/>
          <w:szCs w:val="28"/>
        </w:rPr>
        <w:t>The communication strategy plan c</w:t>
      </w:r>
      <w:r w:rsidR="000142AD">
        <w:rPr>
          <w:rFonts w:eastAsiaTheme="majorEastAsia"/>
          <w:szCs w:val="28"/>
        </w:rPr>
        <w:t>ould</w:t>
      </w:r>
      <w:r w:rsidR="00424AC7" w:rsidRPr="00424AC7">
        <w:rPr>
          <w:rFonts w:eastAsiaTheme="majorEastAsia"/>
          <w:szCs w:val="28"/>
        </w:rPr>
        <w:t xml:space="preserve"> also reflect on Hope Valley's commitment to ethical transparency, responsibility, and faith-based values. The internal and external communication strategies served as a foundation for the findings that </w:t>
      </w:r>
      <w:r w:rsidR="000142AD">
        <w:rPr>
          <w:rFonts w:eastAsiaTheme="majorEastAsia"/>
          <w:szCs w:val="28"/>
        </w:rPr>
        <w:t>were</w:t>
      </w:r>
      <w:r w:rsidR="00424AC7" w:rsidRPr="00424AC7">
        <w:rPr>
          <w:rFonts w:eastAsiaTheme="majorEastAsia"/>
          <w:szCs w:val="28"/>
        </w:rPr>
        <w:t xml:space="preserve"> distributed through accessible, trusted formats, which can promote both collective responsibility and learning. Green et al. (2024) state</w:t>
      </w:r>
      <w:r w:rsidR="000142AD">
        <w:rPr>
          <w:rFonts w:eastAsiaTheme="majorEastAsia"/>
          <w:szCs w:val="28"/>
        </w:rPr>
        <w:t>d</w:t>
      </w:r>
      <w:r w:rsidR="00424AC7" w:rsidRPr="00424AC7">
        <w:rPr>
          <w:rFonts w:eastAsiaTheme="majorEastAsia"/>
          <w:szCs w:val="28"/>
        </w:rPr>
        <w:t xml:space="preserve"> that having transparency c</w:t>
      </w:r>
      <w:r w:rsidR="000142AD">
        <w:rPr>
          <w:rFonts w:eastAsiaTheme="majorEastAsia"/>
          <w:szCs w:val="28"/>
        </w:rPr>
        <w:t>ould</w:t>
      </w:r>
      <w:r w:rsidR="00424AC7" w:rsidRPr="00424AC7">
        <w:rPr>
          <w:rFonts w:eastAsiaTheme="majorEastAsia"/>
          <w:szCs w:val="28"/>
        </w:rPr>
        <w:t xml:space="preserve"> help nurture the culture of accountability and allow staff to participate in the evaluation process. Evidence by </w:t>
      </w:r>
      <w:proofErr w:type="spellStart"/>
      <w:r w:rsidR="00424AC7" w:rsidRPr="00424AC7">
        <w:rPr>
          <w:rFonts w:eastAsiaTheme="majorEastAsia"/>
          <w:szCs w:val="28"/>
        </w:rPr>
        <w:t>Havnes</w:t>
      </w:r>
      <w:proofErr w:type="spellEnd"/>
      <w:r w:rsidR="00424AC7" w:rsidRPr="00424AC7">
        <w:rPr>
          <w:rFonts w:eastAsiaTheme="majorEastAsia"/>
          <w:szCs w:val="28"/>
        </w:rPr>
        <w:t xml:space="preserve"> et al. (2021) suggest</w:t>
      </w:r>
      <w:r w:rsidR="000142AD">
        <w:rPr>
          <w:rFonts w:eastAsiaTheme="majorEastAsia"/>
          <w:szCs w:val="28"/>
        </w:rPr>
        <w:t>ed</w:t>
      </w:r>
      <w:r w:rsidR="00424AC7" w:rsidRPr="00424AC7">
        <w:rPr>
          <w:rFonts w:eastAsiaTheme="majorEastAsia"/>
          <w:szCs w:val="28"/>
        </w:rPr>
        <w:t xml:space="preserve"> that ethical workload reporting c</w:t>
      </w:r>
      <w:r w:rsidR="000142AD">
        <w:rPr>
          <w:rFonts w:eastAsiaTheme="majorEastAsia"/>
          <w:szCs w:val="28"/>
        </w:rPr>
        <w:t>ould</w:t>
      </w:r>
      <w:r w:rsidR="00424AC7" w:rsidRPr="00424AC7">
        <w:rPr>
          <w:rFonts w:eastAsiaTheme="majorEastAsia"/>
          <w:szCs w:val="28"/>
        </w:rPr>
        <w:t xml:space="preserve"> help prevent burnout and strengthen staff beliefs.</w:t>
      </w:r>
    </w:p>
    <w:p w14:paraId="7FF390D3" w14:textId="580DBF6B" w:rsidR="00424AC7" w:rsidRPr="00424AC7" w:rsidRDefault="00424AC7" w:rsidP="00424AC7">
      <w:pPr>
        <w:rPr>
          <w:rFonts w:eastAsiaTheme="majorEastAsia"/>
          <w:szCs w:val="28"/>
        </w:rPr>
      </w:pPr>
      <w:r w:rsidRPr="00424AC7">
        <w:rPr>
          <w:rFonts w:eastAsiaTheme="majorEastAsia"/>
          <w:szCs w:val="28"/>
        </w:rPr>
        <w:t xml:space="preserve">            In addition, the evaluation program not only shares </w:t>
      </w:r>
      <w:proofErr w:type="gramStart"/>
      <w:r w:rsidRPr="00424AC7">
        <w:rPr>
          <w:rFonts w:eastAsiaTheme="majorEastAsia"/>
          <w:szCs w:val="28"/>
        </w:rPr>
        <w:t>the information</w:t>
      </w:r>
      <w:proofErr w:type="gramEnd"/>
      <w:r w:rsidRPr="00424AC7">
        <w:rPr>
          <w:rFonts w:eastAsiaTheme="majorEastAsia"/>
          <w:szCs w:val="28"/>
        </w:rPr>
        <w:t xml:space="preserve"> among the staff but also with the pharmacy team, who make the process easier by providing monthly ethical reflection groups where staff can openly discuss clinical decision-making challenges. This c</w:t>
      </w:r>
      <w:r w:rsidR="000142AD">
        <w:rPr>
          <w:rFonts w:eastAsiaTheme="majorEastAsia"/>
          <w:szCs w:val="28"/>
        </w:rPr>
        <w:t>ould</w:t>
      </w:r>
      <w:r w:rsidRPr="00424AC7">
        <w:rPr>
          <w:rFonts w:eastAsiaTheme="majorEastAsia"/>
          <w:szCs w:val="28"/>
        </w:rPr>
        <w:t xml:space="preserve"> be supported through case-based discussion models, which </w:t>
      </w:r>
      <w:proofErr w:type="gramStart"/>
      <w:r w:rsidRPr="00424AC7">
        <w:rPr>
          <w:rFonts w:eastAsiaTheme="majorEastAsia"/>
          <w:szCs w:val="28"/>
        </w:rPr>
        <w:t>help</w:t>
      </w:r>
      <w:r w:rsidR="000142AD">
        <w:rPr>
          <w:rFonts w:eastAsiaTheme="majorEastAsia"/>
          <w:szCs w:val="28"/>
        </w:rPr>
        <w:t>ed</w:t>
      </w:r>
      <w:proofErr w:type="gramEnd"/>
      <w:r w:rsidRPr="00424AC7">
        <w:rPr>
          <w:rFonts w:eastAsiaTheme="majorEastAsia"/>
          <w:szCs w:val="28"/>
        </w:rPr>
        <w:t xml:space="preserve"> understand the situations encountered during discharge planning, medication access, or counseling. Therefore, creating a </w:t>
      </w:r>
      <w:proofErr w:type="gramStart"/>
      <w:r w:rsidRPr="00424AC7">
        <w:rPr>
          <w:rFonts w:eastAsiaTheme="majorEastAsia"/>
          <w:szCs w:val="28"/>
        </w:rPr>
        <w:t>professional safe</w:t>
      </w:r>
      <w:proofErr w:type="gramEnd"/>
      <w:r w:rsidRPr="00424AC7">
        <w:rPr>
          <w:rFonts w:eastAsiaTheme="majorEastAsia"/>
          <w:szCs w:val="28"/>
        </w:rPr>
        <w:t xml:space="preserve"> space for ethical discussions c</w:t>
      </w:r>
      <w:r w:rsidR="000142AD">
        <w:rPr>
          <w:rFonts w:eastAsiaTheme="majorEastAsia"/>
          <w:szCs w:val="28"/>
        </w:rPr>
        <w:t>ould</w:t>
      </w:r>
      <w:r w:rsidRPr="00424AC7">
        <w:rPr>
          <w:rFonts w:eastAsiaTheme="majorEastAsia"/>
          <w:szCs w:val="28"/>
        </w:rPr>
        <w:t xml:space="preserve"> promote team internal consistency between values and behaviors. </w:t>
      </w:r>
    </w:p>
    <w:p w14:paraId="3E07EBDC" w14:textId="29F6436A" w:rsidR="00424AC7" w:rsidRPr="00424AC7" w:rsidRDefault="00424AC7" w:rsidP="00424AC7">
      <w:pPr>
        <w:rPr>
          <w:rFonts w:eastAsiaTheme="majorEastAsia"/>
          <w:szCs w:val="28"/>
        </w:rPr>
      </w:pPr>
      <w:r w:rsidRPr="00424AC7">
        <w:rPr>
          <w:rFonts w:eastAsiaTheme="majorEastAsia"/>
          <w:szCs w:val="28"/>
        </w:rPr>
        <w:tab/>
        <w:t xml:space="preserve">Moreover, the staff </w:t>
      </w:r>
      <w:r w:rsidR="0022589D">
        <w:rPr>
          <w:rFonts w:eastAsiaTheme="majorEastAsia"/>
          <w:szCs w:val="28"/>
        </w:rPr>
        <w:t>w</w:t>
      </w:r>
      <w:r w:rsidR="008A5781">
        <w:rPr>
          <w:rFonts w:eastAsiaTheme="majorEastAsia"/>
          <w:szCs w:val="28"/>
        </w:rPr>
        <w:t>ere</w:t>
      </w:r>
      <w:r w:rsidR="0022589D">
        <w:rPr>
          <w:rFonts w:eastAsiaTheme="majorEastAsia"/>
          <w:szCs w:val="28"/>
        </w:rPr>
        <w:t xml:space="preserve"> </w:t>
      </w:r>
      <w:r w:rsidRPr="00424AC7">
        <w:rPr>
          <w:rFonts w:eastAsiaTheme="majorEastAsia"/>
          <w:szCs w:val="28"/>
        </w:rPr>
        <w:t>also invited to be a part of an anonymous quarterly "Lessons in Leadership" bulletin that highlights examples of ethical courage, empathy in communication, or moments of integrity in complex patient cases. These activities c</w:t>
      </w:r>
      <w:r w:rsidR="0022589D">
        <w:rPr>
          <w:rFonts w:eastAsiaTheme="majorEastAsia"/>
          <w:szCs w:val="28"/>
        </w:rPr>
        <w:t>ould</w:t>
      </w:r>
      <w:r w:rsidRPr="00424AC7">
        <w:rPr>
          <w:rFonts w:eastAsiaTheme="majorEastAsia"/>
          <w:szCs w:val="28"/>
        </w:rPr>
        <w:t xml:space="preserve"> help strengthen the team's ability to share results with moral clarity and cultural humility (Liu et al., 2021). Patient outcomes, including areas needing improvement, </w:t>
      </w:r>
      <w:r w:rsidR="0022589D">
        <w:rPr>
          <w:rFonts w:eastAsiaTheme="majorEastAsia"/>
          <w:szCs w:val="28"/>
        </w:rPr>
        <w:t>were</w:t>
      </w:r>
      <w:r w:rsidRPr="00424AC7">
        <w:rPr>
          <w:rFonts w:eastAsiaTheme="majorEastAsia"/>
          <w:szCs w:val="28"/>
        </w:rPr>
        <w:t xml:space="preserve"> shared openly. Confidentiality </w:t>
      </w:r>
      <w:r w:rsidR="0022589D">
        <w:rPr>
          <w:rFonts w:eastAsiaTheme="majorEastAsia"/>
          <w:szCs w:val="28"/>
        </w:rPr>
        <w:t>was</w:t>
      </w:r>
      <w:r w:rsidRPr="00424AC7">
        <w:rPr>
          <w:rFonts w:eastAsiaTheme="majorEastAsia"/>
          <w:szCs w:val="28"/>
        </w:rPr>
        <w:t xml:space="preserve"> </w:t>
      </w:r>
      <w:r w:rsidRPr="00424AC7">
        <w:rPr>
          <w:rFonts w:eastAsiaTheme="majorEastAsia"/>
          <w:szCs w:val="28"/>
        </w:rPr>
        <w:lastRenderedPageBreak/>
        <w:t xml:space="preserve">maintained in all personalized reports, but systemic issues are discussed with the intent of learning, not blame. These principles ensure that communication </w:t>
      </w:r>
      <w:r w:rsidR="008A5781">
        <w:rPr>
          <w:rFonts w:eastAsiaTheme="majorEastAsia"/>
          <w:szCs w:val="28"/>
        </w:rPr>
        <w:t>supports</w:t>
      </w:r>
      <w:r w:rsidRPr="00424AC7">
        <w:rPr>
          <w:rFonts w:eastAsiaTheme="majorEastAsia"/>
          <w:szCs w:val="28"/>
        </w:rPr>
        <w:t xml:space="preserve"> continuous quality improvement.</w:t>
      </w:r>
    </w:p>
    <w:p w14:paraId="4E86A459" w14:textId="3F77EF3D" w:rsidR="00424AC7" w:rsidRDefault="00473698" w:rsidP="00424AC7">
      <w:pPr>
        <w:rPr>
          <w:rFonts w:eastAsiaTheme="majorEastAsia"/>
          <w:b/>
          <w:bCs/>
          <w:szCs w:val="28"/>
        </w:rPr>
      </w:pPr>
      <w:r w:rsidRPr="00473698">
        <w:rPr>
          <w:rFonts w:eastAsiaTheme="majorEastAsia"/>
          <w:b/>
          <w:bCs/>
          <w:szCs w:val="28"/>
        </w:rPr>
        <w:t>Biblical</w:t>
      </w:r>
      <w:r w:rsidR="00E62654" w:rsidRPr="00473698">
        <w:rPr>
          <w:rFonts w:eastAsiaTheme="majorEastAsia"/>
          <w:b/>
          <w:bCs/>
          <w:szCs w:val="28"/>
        </w:rPr>
        <w:t xml:space="preserve"> World</w:t>
      </w:r>
      <w:r w:rsidRPr="00473698">
        <w:rPr>
          <w:rFonts w:eastAsiaTheme="majorEastAsia"/>
          <w:b/>
          <w:bCs/>
          <w:szCs w:val="28"/>
        </w:rPr>
        <w:t>view Integration</w:t>
      </w:r>
    </w:p>
    <w:p w14:paraId="23B63FEF" w14:textId="08FAE8F7" w:rsidR="00A20B71" w:rsidRPr="00A20B71" w:rsidRDefault="00A20B71" w:rsidP="00A20B71">
      <w:pPr>
        <w:ind w:firstLine="720"/>
        <w:rPr>
          <w:rFonts w:eastAsiaTheme="majorEastAsia"/>
          <w:szCs w:val="28"/>
        </w:rPr>
      </w:pPr>
      <w:r w:rsidRPr="00A20B71">
        <w:rPr>
          <w:rFonts w:eastAsiaTheme="majorEastAsia"/>
          <w:szCs w:val="28"/>
        </w:rPr>
        <w:t>A biblical worldview c</w:t>
      </w:r>
      <w:r w:rsidR="008A5781">
        <w:rPr>
          <w:rFonts w:eastAsiaTheme="majorEastAsia"/>
          <w:szCs w:val="28"/>
        </w:rPr>
        <w:t>ould</w:t>
      </w:r>
      <w:r w:rsidRPr="00A20B71">
        <w:rPr>
          <w:rFonts w:eastAsiaTheme="majorEastAsia"/>
          <w:szCs w:val="28"/>
        </w:rPr>
        <w:t xml:space="preserve"> help provide a strong foundation for hospital pharmacy programs by connecting with clinical services that value compassion, integrity, and stewardship. In the Bible, people </w:t>
      </w:r>
      <w:r w:rsidR="008A5781">
        <w:rPr>
          <w:rFonts w:eastAsiaTheme="majorEastAsia"/>
          <w:szCs w:val="28"/>
        </w:rPr>
        <w:t>were</w:t>
      </w:r>
      <w:r w:rsidRPr="00A20B71">
        <w:rPr>
          <w:rFonts w:eastAsiaTheme="majorEastAsia"/>
          <w:szCs w:val="28"/>
        </w:rPr>
        <w:t xml:space="preserve"> reminded that it is important to serve others, as it c</w:t>
      </w:r>
      <w:r w:rsidR="008A5781">
        <w:rPr>
          <w:rFonts w:eastAsiaTheme="majorEastAsia"/>
          <w:szCs w:val="28"/>
        </w:rPr>
        <w:t>ould</w:t>
      </w:r>
      <w:r w:rsidRPr="00A20B71">
        <w:rPr>
          <w:rFonts w:eastAsiaTheme="majorEastAsia"/>
          <w:szCs w:val="28"/>
        </w:rPr>
        <w:t xml:space="preserve"> help pursue excellence in all works. One part of the scripture states, "Whatever you do, work heartily, as for the Lord and not for men" (</w:t>
      </w:r>
      <w:r w:rsidRPr="00A20B71">
        <w:rPr>
          <w:rFonts w:eastAsiaTheme="majorEastAsia"/>
          <w:i/>
          <w:iCs/>
          <w:szCs w:val="28"/>
        </w:rPr>
        <w:t>English Standard Version</w:t>
      </w:r>
      <w:r w:rsidRPr="00A20B71">
        <w:rPr>
          <w:rFonts w:eastAsiaTheme="majorEastAsia"/>
          <w:szCs w:val="28"/>
        </w:rPr>
        <w:t>, 2001/2016, Colossians 3:23). This c</w:t>
      </w:r>
      <w:r w:rsidR="008A5781">
        <w:rPr>
          <w:rFonts w:eastAsiaTheme="majorEastAsia"/>
          <w:szCs w:val="28"/>
        </w:rPr>
        <w:t xml:space="preserve">ould </w:t>
      </w:r>
      <w:r w:rsidRPr="00A20B71">
        <w:rPr>
          <w:rFonts w:eastAsiaTheme="majorEastAsia"/>
          <w:szCs w:val="28"/>
        </w:rPr>
        <w:t xml:space="preserve">relate to the mindset of the pharmacy teams' responsibilities, task, performance, helping them through acts of services and support worship care for others. </w:t>
      </w:r>
    </w:p>
    <w:p w14:paraId="21BF7085" w14:textId="7ED8F987" w:rsidR="00A20B71" w:rsidRPr="00A20B71" w:rsidRDefault="00A20B71" w:rsidP="00A20B71">
      <w:pPr>
        <w:ind w:firstLine="720"/>
        <w:rPr>
          <w:rFonts w:eastAsiaTheme="majorEastAsia"/>
          <w:szCs w:val="28"/>
        </w:rPr>
      </w:pPr>
      <w:r w:rsidRPr="00A20B71">
        <w:rPr>
          <w:rFonts w:eastAsiaTheme="majorEastAsia"/>
          <w:szCs w:val="28"/>
        </w:rPr>
        <w:t>Pharmacists and healthcare providers c</w:t>
      </w:r>
      <w:r w:rsidR="008A5781">
        <w:rPr>
          <w:rFonts w:eastAsiaTheme="majorEastAsia"/>
          <w:szCs w:val="28"/>
        </w:rPr>
        <w:t>ould</w:t>
      </w:r>
      <w:r w:rsidRPr="00A20B71">
        <w:rPr>
          <w:rFonts w:eastAsiaTheme="majorEastAsia"/>
          <w:szCs w:val="28"/>
        </w:rPr>
        <w:t xml:space="preserve"> demonstrate an important role </w:t>
      </w:r>
      <w:r w:rsidR="008A5781" w:rsidRPr="00A20B71">
        <w:rPr>
          <w:rFonts w:eastAsiaTheme="majorEastAsia"/>
          <w:szCs w:val="28"/>
        </w:rPr>
        <w:t>by</w:t>
      </w:r>
      <w:r w:rsidRPr="00A20B71">
        <w:rPr>
          <w:rFonts w:eastAsiaTheme="majorEastAsia"/>
          <w:szCs w:val="28"/>
        </w:rPr>
        <w:t xml:space="preserve"> showing Christian love through their daily interactions with their patients. Scriptures </w:t>
      </w:r>
      <w:r w:rsidR="008A5781">
        <w:rPr>
          <w:rFonts w:eastAsiaTheme="majorEastAsia"/>
          <w:szCs w:val="28"/>
        </w:rPr>
        <w:t>showed</w:t>
      </w:r>
      <w:r w:rsidRPr="00A20B71">
        <w:rPr>
          <w:rFonts w:eastAsiaTheme="majorEastAsia"/>
          <w:szCs w:val="28"/>
        </w:rPr>
        <w:t xml:space="preserve"> that, "Do not withhold good from those to whom it is due, when it is in your power to do it" (</w:t>
      </w:r>
      <w:r w:rsidRPr="00A20B71">
        <w:rPr>
          <w:rFonts w:eastAsiaTheme="majorEastAsia"/>
          <w:i/>
          <w:iCs/>
          <w:szCs w:val="28"/>
        </w:rPr>
        <w:t>English Standard Version</w:t>
      </w:r>
      <w:r w:rsidRPr="00A20B71">
        <w:rPr>
          <w:rFonts w:eastAsiaTheme="majorEastAsia"/>
          <w:szCs w:val="28"/>
        </w:rPr>
        <w:t xml:space="preserve">, 2001/2016, Proverbs 3:27). This verse reflects </w:t>
      </w:r>
      <w:proofErr w:type="gramStart"/>
      <w:r w:rsidRPr="00A20B71">
        <w:rPr>
          <w:rFonts w:eastAsiaTheme="majorEastAsia"/>
          <w:szCs w:val="28"/>
        </w:rPr>
        <w:t>the motivation</w:t>
      </w:r>
      <w:proofErr w:type="gramEnd"/>
      <w:r w:rsidRPr="00A20B71">
        <w:rPr>
          <w:rFonts w:eastAsiaTheme="majorEastAsia"/>
          <w:szCs w:val="28"/>
        </w:rPr>
        <w:t xml:space="preserve"> throughout the program's discharge medication </w:t>
      </w:r>
      <w:proofErr w:type="gramStart"/>
      <w:r w:rsidRPr="00A20B71">
        <w:rPr>
          <w:rFonts w:eastAsiaTheme="majorEastAsia"/>
          <w:szCs w:val="28"/>
        </w:rPr>
        <w:t>efforts,</w:t>
      </w:r>
      <w:proofErr w:type="gramEnd"/>
      <w:r w:rsidRPr="00A20B71">
        <w:rPr>
          <w:rFonts w:eastAsiaTheme="majorEastAsia"/>
          <w:szCs w:val="28"/>
        </w:rPr>
        <w:t xml:space="preserve"> it helps ensure the patients that they </w:t>
      </w:r>
      <w:r w:rsidR="008A5781">
        <w:rPr>
          <w:rFonts w:eastAsiaTheme="majorEastAsia"/>
          <w:szCs w:val="28"/>
        </w:rPr>
        <w:t>were</w:t>
      </w:r>
      <w:r w:rsidRPr="00A20B71">
        <w:rPr>
          <w:rFonts w:eastAsiaTheme="majorEastAsia"/>
          <w:szCs w:val="28"/>
        </w:rPr>
        <w:t xml:space="preserve"> given the best support as they transition from the hospital to their home. Therefore, completing timely reviews, understanding the instructions, and collaborating with community pharmacies c</w:t>
      </w:r>
      <w:r w:rsidR="008A5781">
        <w:rPr>
          <w:rFonts w:eastAsiaTheme="majorEastAsia"/>
          <w:szCs w:val="28"/>
        </w:rPr>
        <w:t>ould</w:t>
      </w:r>
      <w:r w:rsidRPr="00A20B71">
        <w:rPr>
          <w:rFonts w:eastAsiaTheme="majorEastAsia"/>
          <w:szCs w:val="28"/>
        </w:rPr>
        <w:t xml:space="preserve"> help create Hope Valley's staff throughout their biblical values of generosity and responsibility.</w:t>
      </w:r>
    </w:p>
    <w:p w14:paraId="484C56BD" w14:textId="4328F726" w:rsidR="00A20B71" w:rsidRPr="00A20B71" w:rsidRDefault="00A20B71" w:rsidP="00A20B71">
      <w:pPr>
        <w:ind w:firstLine="720"/>
        <w:rPr>
          <w:rFonts w:eastAsiaTheme="majorEastAsia"/>
          <w:szCs w:val="28"/>
        </w:rPr>
      </w:pPr>
      <w:r w:rsidRPr="00A20B71">
        <w:rPr>
          <w:rFonts w:eastAsiaTheme="majorEastAsia"/>
          <w:szCs w:val="28"/>
        </w:rPr>
        <w:t>Moreover, bringing faith into the program c</w:t>
      </w:r>
      <w:r w:rsidR="008A5781">
        <w:rPr>
          <w:rFonts w:eastAsiaTheme="majorEastAsia"/>
          <w:szCs w:val="28"/>
        </w:rPr>
        <w:t>ould</w:t>
      </w:r>
      <w:r w:rsidRPr="00A20B71">
        <w:rPr>
          <w:rFonts w:eastAsiaTheme="majorEastAsia"/>
          <w:szCs w:val="28"/>
        </w:rPr>
        <w:t xml:space="preserve"> help humanity and compassion through decision-making. For example, the Bible states that, "What does the Lord require of you but to do justice, and to love kindness, and to walk humbly with your God" (</w:t>
      </w:r>
      <w:r w:rsidRPr="00A20B71">
        <w:rPr>
          <w:rFonts w:eastAsiaTheme="majorEastAsia"/>
          <w:i/>
          <w:iCs/>
          <w:szCs w:val="28"/>
        </w:rPr>
        <w:t>English Standard Version</w:t>
      </w:r>
      <w:r w:rsidRPr="00A20B71">
        <w:rPr>
          <w:rFonts w:eastAsiaTheme="majorEastAsia"/>
          <w:szCs w:val="28"/>
        </w:rPr>
        <w:t>, 2001/2016, Micah 6:8). This verse c</w:t>
      </w:r>
      <w:r w:rsidR="008A5781">
        <w:rPr>
          <w:rFonts w:eastAsiaTheme="majorEastAsia"/>
          <w:szCs w:val="28"/>
        </w:rPr>
        <w:t>ould</w:t>
      </w:r>
      <w:r w:rsidRPr="00A20B71">
        <w:rPr>
          <w:rFonts w:eastAsiaTheme="majorEastAsia"/>
          <w:szCs w:val="28"/>
        </w:rPr>
        <w:t xml:space="preserve"> be offered as a guide to reflect on the </w:t>
      </w:r>
      <w:proofErr w:type="gramStart"/>
      <w:r w:rsidRPr="00A20B71">
        <w:rPr>
          <w:rFonts w:eastAsiaTheme="majorEastAsia"/>
          <w:szCs w:val="28"/>
        </w:rPr>
        <w:t>programs</w:t>
      </w:r>
      <w:proofErr w:type="gramEnd"/>
      <w:r w:rsidRPr="00A20B71">
        <w:rPr>
          <w:rFonts w:eastAsiaTheme="majorEastAsia"/>
          <w:szCs w:val="28"/>
        </w:rPr>
        <w:t xml:space="preserve"> </w:t>
      </w:r>
      <w:r w:rsidRPr="00A20B71">
        <w:rPr>
          <w:rFonts w:eastAsiaTheme="majorEastAsia"/>
          <w:szCs w:val="28"/>
        </w:rPr>
        <w:lastRenderedPageBreak/>
        <w:t xml:space="preserve">approach to </w:t>
      </w:r>
      <w:proofErr w:type="gramStart"/>
      <w:r w:rsidRPr="00A20B71">
        <w:rPr>
          <w:rFonts w:eastAsiaTheme="majorEastAsia"/>
          <w:szCs w:val="28"/>
        </w:rPr>
        <w:t>the access</w:t>
      </w:r>
      <w:proofErr w:type="gramEnd"/>
      <w:r w:rsidRPr="00A20B71">
        <w:rPr>
          <w:rFonts w:eastAsiaTheme="majorEastAsia"/>
          <w:szCs w:val="28"/>
        </w:rPr>
        <w:t xml:space="preserve"> to medication, staff development, and responses to errors. Instead of a negative course of action, such as blaming individuals. The communication plan c</w:t>
      </w:r>
      <w:r w:rsidR="008A5781">
        <w:rPr>
          <w:rFonts w:eastAsiaTheme="majorEastAsia"/>
          <w:szCs w:val="28"/>
        </w:rPr>
        <w:t>ould</w:t>
      </w:r>
      <w:r w:rsidRPr="00A20B71">
        <w:rPr>
          <w:rFonts w:eastAsiaTheme="majorEastAsia"/>
          <w:szCs w:val="28"/>
        </w:rPr>
        <w:t xml:space="preserve"> promote a redemptive path towards their goal with spiritual guidance through God's word.</w:t>
      </w:r>
    </w:p>
    <w:p w14:paraId="63AFB480" w14:textId="271577E1" w:rsidR="00A20B71" w:rsidRPr="00A20B71" w:rsidRDefault="00A20B71" w:rsidP="00A20B71">
      <w:pPr>
        <w:ind w:firstLine="720"/>
        <w:rPr>
          <w:rFonts w:eastAsiaTheme="majorEastAsia"/>
          <w:szCs w:val="28"/>
        </w:rPr>
      </w:pPr>
      <w:r w:rsidRPr="00A20B71">
        <w:rPr>
          <w:rFonts w:eastAsiaTheme="majorEastAsia"/>
          <w:szCs w:val="28"/>
        </w:rPr>
        <w:t>Overall, integrating a biblical worldview into the hospital pharmacy evaluation framework c</w:t>
      </w:r>
      <w:r w:rsidR="008A5781">
        <w:rPr>
          <w:rFonts w:eastAsiaTheme="majorEastAsia"/>
          <w:szCs w:val="28"/>
        </w:rPr>
        <w:t>ould</w:t>
      </w:r>
      <w:r w:rsidRPr="00A20B71">
        <w:rPr>
          <w:rFonts w:eastAsiaTheme="majorEastAsia"/>
          <w:szCs w:val="28"/>
        </w:rPr>
        <w:t xml:space="preserve"> potentially find a deeper purpose that </w:t>
      </w:r>
      <w:proofErr w:type="gramStart"/>
      <w:r w:rsidR="008A5781">
        <w:rPr>
          <w:rFonts w:eastAsiaTheme="majorEastAsia"/>
          <w:szCs w:val="28"/>
        </w:rPr>
        <w:t>was</w:t>
      </w:r>
      <w:r w:rsidRPr="00A20B71">
        <w:rPr>
          <w:rFonts w:eastAsiaTheme="majorEastAsia"/>
          <w:szCs w:val="28"/>
        </w:rPr>
        <w:t xml:space="preserve"> connected with</w:t>
      </w:r>
      <w:proofErr w:type="gramEnd"/>
      <w:r w:rsidRPr="00A20B71">
        <w:rPr>
          <w:rFonts w:eastAsiaTheme="majorEastAsia"/>
          <w:szCs w:val="28"/>
        </w:rPr>
        <w:t xml:space="preserve"> faith through stewardship, humility, and the care for others' well-being. By connecting the clinical understanding with biblical principles, Hope Valley's program models a successful holistic approach to healthcare, instilling love, service, and truth.</w:t>
      </w:r>
    </w:p>
    <w:p w14:paraId="34E68AE3" w14:textId="019F9F52" w:rsidR="00C73B23" w:rsidRDefault="00C73B23" w:rsidP="00A20B71">
      <w:pPr>
        <w:rPr>
          <w:rFonts w:eastAsiaTheme="majorEastAsia"/>
          <w:b/>
          <w:bCs/>
          <w:szCs w:val="28"/>
        </w:rPr>
      </w:pPr>
      <w:r w:rsidRPr="00C73B23">
        <w:rPr>
          <w:rFonts w:eastAsiaTheme="majorEastAsia"/>
          <w:b/>
          <w:bCs/>
          <w:szCs w:val="28"/>
        </w:rPr>
        <w:t xml:space="preserve">Summary </w:t>
      </w:r>
    </w:p>
    <w:p w14:paraId="4D45C88D" w14:textId="2B83740E" w:rsidR="00D36456" w:rsidRPr="00D36456" w:rsidRDefault="00C73B23" w:rsidP="00D36456">
      <w:pPr>
        <w:rPr>
          <w:rFonts w:eastAsiaTheme="majorEastAsia"/>
          <w:szCs w:val="28"/>
        </w:rPr>
      </w:pPr>
      <w:r>
        <w:rPr>
          <w:rFonts w:eastAsiaTheme="majorEastAsia"/>
          <w:b/>
          <w:bCs/>
          <w:szCs w:val="28"/>
        </w:rPr>
        <w:tab/>
      </w:r>
      <w:r w:rsidR="00D36456" w:rsidRPr="00D36456">
        <w:rPr>
          <w:rFonts w:eastAsiaTheme="majorEastAsia"/>
          <w:szCs w:val="28"/>
        </w:rPr>
        <w:t xml:space="preserve">The communication plan makes sure that evaluation results </w:t>
      </w:r>
      <w:r w:rsidR="0096593F">
        <w:rPr>
          <w:rFonts w:eastAsiaTheme="majorEastAsia"/>
          <w:szCs w:val="28"/>
        </w:rPr>
        <w:t>were</w:t>
      </w:r>
      <w:r w:rsidR="00D36456" w:rsidRPr="00D36456">
        <w:rPr>
          <w:rFonts w:eastAsiaTheme="majorEastAsia"/>
          <w:szCs w:val="28"/>
        </w:rPr>
        <w:t xml:space="preserve"> shared, understood, and applied. Internally, dashboards, newsletters, and performance reviews keep staff informed and engaged. Externally, targeted reports, public health materials, and professional forums strengthen the insights. Community partners </w:t>
      </w:r>
      <w:proofErr w:type="gramStart"/>
      <w:r w:rsidR="00D36456" w:rsidRPr="00D36456">
        <w:rPr>
          <w:rFonts w:eastAsiaTheme="majorEastAsia"/>
          <w:szCs w:val="28"/>
        </w:rPr>
        <w:t>are able to</w:t>
      </w:r>
      <w:proofErr w:type="gramEnd"/>
      <w:r w:rsidR="00D36456" w:rsidRPr="00D36456">
        <w:rPr>
          <w:rFonts w:eastAsiaTheme="majorEastAsia"/>
          <w:szCs w:val="28"/>
        </w:rPr>
        <w:t xml:space="preserve"> gain trust in the pharmacy through visual and verbal means. Likewise, the funders w</w:t>
      </w:r>
      <w:r w:rsidR="0096593F">
        <w:rPr>
          <w:rFonts w:eastAsiaTheme="majorEastAsia"/>
          <w:szCs w:val="28"/>
        </w:rPr>
        <w:t>ould</w:t>
      </w:r>
      <w:r w:rsidR="00D36456" w:rsidRPr="00D36456">
        <w:rPr>
          <w:rFonts w:eastAsiaTheme="majorEastAsia"/>
          <w:szCs w:val="28"/>
        </w:rPr>
        <w:t xml:space="preserve"> remain engaged </w:t>
      </w:r>
      <w:proofErr w:type="gramStart"/>
      <w:r w:rsidR="00D36456" w:rsidRPr="00D36456">
        <w:rPr>
          <w:rFonts w:eastAsiaTheme="majorEastAsia"/>
          <w:szCs w:val="28"/>
        </w:rPr>
        <w:t>throughout</w:t>
      </w:r>
      <w:proofErr w:type="gramEnd"/>
      <w:r w:rsidR="00D36456" w:rsidRPr="00D36456">
        <w:rPr>
          <w:rFonts w:eastAsiaTheme="majorEastAsia"/>
          <w:szCs w:val="28"/>
        </w:rPr>
        <w:t xml:space="preserve"> briefs and data visualizations.</w:t>
      </w:r>
    </w:p>
    <w:p w14:paraId="092B94FB" w14:textId="750D4046" w:rsidR="00D36456" w:rsidRPr="00D36456" w:rsidRDefault="00D36456" w:rsidP="00D36456">
      <w:pPr>
        <w:ind w:firstLine="720"/>
        <w:rPr>
          <w:rFonts w:eastAsiaTheme="majorEastAsia"/>
          <w:szCs w:val="28"/>
        </w:rPr>
      </w:pPr>
      <w:r w:rsidRPr="00D36456">
        <w:rPr>
          <w:rFonts w:eastAsiaTheme="majorEastAsia"/>
          <w:szCs w:val="28"/>
        </w:rPr>
        <w:t>To ensure effective knowledge of the translation, Hope Valley's program w</w:t>
      </w:r>
      <w:r w:rsidR="0096593F">
        <w:rPr>
          <w:rFonts w:eastAsiaTheme="majorEastAsia"/>
          <w:szCs w:val="28"/>
        </w:rPr>
        <w:t>ould</w:t>
      </w:r>
      <w:r w:rsidRPr="00D36456">
        <w:rPr>
          <w:rFonts w:eastAsiaTheme="majorEastAsia"/>
          <w:szCs w:val="28"/>
        </w:rPr>
        <w:t xml:space="preserve"> integrate lessons learned into policy recommendations, Standard Operating Procedures (SOP), and orientation guidebooks. Workshops and staff development </w:t>
      </w:r>
      <w:r w:rsidR="0096593F">
        <w:rPr>
          <w:rFonts w:eastAsiaTheme="majorEastAsia"/>
          <w:szCs w:val="28"/>
        </w:rPr>
        <w:t>were</w:t>
      </w:r>
      <w:r w:rsidRPr="00D36456">
        <w:rPr>
          <w:rFonts w:eastAsiaTheme="majorEastAsia"/>
          <w:szCs w:val="28"/>
        </w:rPr>
        <w:t xml:space="preserve"> created for new pharmacists or administrators. Presentations at local universities and pharmacy schools w</w:t>
      </w:r>
      <w:r w:rsidR="0096593F">
        <w:rPr>
          <w:rFonts w:eastAsiaTheme="majorEastAsia"/>
          <w:szCs w:val="28"/>
        </w:rPr>
        <w:t>ould</w:t>
      </w:r>
      <w:r w:rsidRPr="00D36456">
        <w:rPr>
          <w:rFonts w:eastAsiaTheme="majorEastAsia"/>
          <w:szCs w:val="28"/>
        </w:rPr>
        <w:t xml:space="preserve"> be able to help spread innovation across the next generation of practitioners (</w:t>
      </w:r>
      <w:proofErr w:type="spellStart"/>
      <w:r w:rsidRPr="00D36456">
        <w:rPr>
          <w:rFonts w:eastAsiaTheme="majorEastAsia"/>
          <w:szCs w:val="28"/>
        </w:rPr>
        <w:t>Alshouli</w:t>
      </w:r>
      <w:proofErr w:type="spellEnd"/>
      <w:r w:rsidRPr="00D36456">
        <w:rPr>
          <w:rFonts w:eastAsiaTheme="majorEastAsia"/>
          <w:szCs w:val="28"/>
        </w:rPr>
        <w:t xml:space="preserve"> et al., 2024).</w:t>
      </w:r>
    </w:p>
    <w:p w14:paraId="7EDC0EE2" w14:textId="16915C6C" w:rsidR="005F3CDD" w:rsidRPr="005F3CDD" w:rsidRDefault="00D36456" w:rsidP="00D36456">
      <w:pPr>
        <w:ind w:firstLine="720"/>
        <w:rPr>
          <w:rFonts w:eastAsiaTheme="majorEastAsia"/>
          <w:szCs w:val="28"/>
        </w:rPr>
      </w:pPr>
      <w:r w:rsidRPr="00D36456">
        <w:rPr>
          <w:rFonts w:eastAsiaTheme="majorEastAsia"/>
          <w:szCs w:val="28"/>
        </w:rPr>
        <w:t xml:space="preserve">Overall, the communication strategy </w:t>
      </w:r>
      <w:r w:rsidR="0096593F">
        <w:rPr>
          <w:rFonts w:eastAsiaTheme="majorEastAsia"/>
          <w:szCs w:val="28"/>
        </w:rPr>
        <w:t>was</w:t>
      </w:r>
      <w:r w:rsidRPr="00D36456">
        <w:rPr>
          <w:rFonts w:eastAsiaTheme="majorEastAsia"/>
          <w:szCs w:val="28"/>
        </w:rPr>
        <w:t xml:space="preserve"> a functional bridge between data, practice, evidence, ethics, individual actions, and hospital vision. By connecting communication efforts with clear values and stakeholder needs, Hope Valley's pharmacy program w</w:t>
      </w:r>
      <w:r w:rsidR="0096593F">
        <w:rPr>
          <w:rFonts w:eastAsiaTheme="majorEastAsia"/>
          <w:szCs w:val="28"/>
        </w:rPr>
        <w:t>ould</w:t>
      </w:r>
      <w:r w:rsidRPr="00D36456">
        <w:rPr>
          <w:rFonts w:eastAsiaTheme="majorEastAsia"/>
          <w:szCs w:val="28"/>
        </w:rPr>
        <w:t xml:space="preserve"> be able to build lasting partnerships and measurable improvements across systems.</w:t>
      </w:r>
    </w:p>
    <w:p w14:paraId="5B33E1DF" w14:textId="77777777" w:rsidR="00EF61EA" w:rsidRPr="00651B5D" w:rsidRDefault="00EF61EA" w:rsidP="008A4400">
      <w:pPr>
        <w:pStyle w:val="Heading1"/>
        <w:rPr>
          <w:rFonts w:cs="Times New Roman"/>
          <w:color w:val="auto"/>
        </w:rPr>
      </w:pPr>
      <w:r w:rsidRPr="00651B5D">
        <w:rPr>
          <w:rFonts w:cs="Times New Roman"/>
          <w:color w:val="auto"/>
        </w:rPr>
        <w:lastRenderedPageBreak/>
        <w:t>References</w:t>
      </w:r>
      <w:bookmarkEnd w:id="0"/>
      <w:bookmarkEnd w:id="1"/>
      <w:bookmarkEnd w:id="2"/>
    </w:p>
    <w:p w14:paraId="28D15C3C" w14:textId="7943AC95" w:rsidR="004E46B8" w:rsidRPr="004E46B8" w:rsidRDefault="004E46B8" w:rsidP="004E46B8">
      <w:pPr>
        <w:ind w:left="720" w:hanging="720"/>
        <w:rPr>
          <w:rFonts w:cs="Times New Roman"/>
          <w:szCs w:val="24"/>
        </w:rPr>
      </w:pPr>
      <w:proofErr w:type="spellStart"/>
      <w:r w:rsidRPr="004E46B8">
        <w:rPr>
          <w:rFonts w:cs="Times New Roman"/>
          <w:szCs w:val="24"/>
        </w:rPr>
        <w:t>Alshouli</w:t>
      </w:r>
      <w:proofErr w:type="spellEnd"/>
      <w:r w:rsidRPr="004E46B8">
        <w:rPr>
          <w:rFonts w:cs="Times New Roman"/>
          <w:szCs w:val="24"/>
        </w:rPr>
        <w:t xml:space="preserve">, B., Abbas, M. O., </w:t>
      </w:r>
      <w:proofErr w:type="spellStart"/>
      <w:r w:rsidRPr="004E46B8">
        <w:rPr>
          <w:rFonts w:cs="Times New Roman"/>
          <w:szCs w:val="24"/>
        </w:rPr>
        <w:t>Alsharji</w:t>
      </w:r>
      <w:proofErr w:type="spellEnd"/>
      <w:r w:rsidRPr="004E46B8">
        <w:rPr>
          <w:rFonts w:cs="Times New Roman"/>
          <w:szCs w:val="24"/>
        </w:rPr>
        <w:t xml:space="preserve">, R., &amp; Jaber, A. A. S. (2024). Evaluation of knowledge and attitude concerning augmented renal clearance among physicians and clinical pharmacists in Al-Ain, UAE: A cross-sectional study. </w:t>
      </w:r>
      <w:r w:rsidRPr="004E46B8">
        <w:rPr>
          <w:rFonts w:cs="Times New Roman"/>
          <w:i/>
          <w:iCs/>
          <w:szCs w:val="24"/>
        </w:rPr>
        <w:t>PLOS ONE, 19</w:t>
      </w:r>
      <w:r w:rsidRPr="004E46B8">
        <w:rPr>
          <w:rFonts w:cs="Times New Roman"/>
          <w:szCs w:val="24"/>
        </w:rPr>
        <w:t xml:space="preserve">(9). </w:t>
      </w:r>
      <w:hyperlink r:id="rId12" w:history="1">
        <w:r w:rsidR="00D705B9" w:rsidRPr="004E46B8">
          <w:rPr>
            <w:rStyle w:val="Hyperlink"/>
            <w:rFonts w:cs="Times New Roman"/>
            <w:szCs w:val="24"/>
          </w:rPr>
          <w:t>https://doi.org/10.1371/journal.pone.0310081</w:t>
        </w:r>
      </w:hyperlink>
      <w:r w:rsidR="00D705B9">
        <w:rPr>
          <w:rFonts w:cs="Times New Roman"/>
          <w:szCs w:val="24"/>
        </w:rPr>
        <w:t xml:space="preserve"> </w:t>
      </w:r>
    </w:p>
    <w:p w14:paraId="02CC3FE5" w14:textId="36B50F1B" w:rsidR="004E46B8" w:rsidRPr="004E46B8" w:rsidRDefault="004E46B8" w:rsidP="004E46B8">
      <w:pPr>
        <w:ind w:left="720" w:hanging="720"/>
        <w:rPr>
          <w:rFonts w:cs="Times New Roman"/>
          <w:szCs w:val="24"/>
        </w:rPr>
      </w:pPr>
      <w:proofErr w:type="spellStart"/>
      <w:r w:rsidRPr="004E46B8">
        <w:rPr>
          <w:rFonts w:cs="Times New Roman"/>
          <w:szCs w:val="24"/>
        </w:rPr>
        <w:t>Balayssac</w:t>
      </w:r>
      <w:proofErr w:type="spellEnd"/>
      <w:r w:rsidRPr="004E46B8">
        <w:rPr>
          <w:rFonts w:cs="Times New Roman"/>
          <w:szCs w:val="24"/>
        </w:rPr>
        <w:t xml:space="preserve">, D., Pereira, B., </w:t>
      </w:r>
      <w:proofErr w:type="spellStart"/>
      <w:r w:rsidRPr="004E46B8">
        <w:rPr>
          <w:rFonts w:cs="Times New Roman"/>
          <w:szCs w:val="24"/>
        </w:rPr>
        <w:t>Desmard</w:t>
      </w:r>
      <w:proofErr w:type="spellEnd"/>
      <w:r w:rsidRPr="004E46B8">
        <w:rPr>
          <w:rFonts w:cs="Times New Roman"/>
          <w:szCs w:val="24"/>
        </w:rPr>
        <w:t xml:space="preserve">, J., Viers, H., Barillon, C., </w:t>
      </w:r>
      <w:proofErr w:type="spellStart"/>
      <w:r w:rsidRPr="004E46B8">
        <w:rPr>
          <w:rFonts w:cs="Times New Roman"/>
          <w:szCs w:val="24"/>
        </w:rPr>
        <w:t>Osseili</w:t>
      </w:r>
      <w:proofErr w:type="spellEnd"/>
      <w:r w:rsidRPr="004E46B8">
        <w:rPr>
          <w:rFonts w:cs="Times New Roman"/>
          <w:szCs w:val="24"/>
        </w:rPr>
        <w:t xml:space="preserve">, A., </w:t>
      </w:r>
      <w:proofErr w:type="spellStart"/>
      <w:r w:rsidRPr="004E46B8">
        <w:rPr>
          <w:rFonts w:cs="Times New Roman"/>
          <w:szCs w:val="24"/>
        </w:rPr>
        <w:t>Chaleteix</w:t>
      </w:r>
      <w:proofErr w:type="spellEnd"/>
      <w:r w:rsidRPr="004E46B8">
        <w:rPr>
          <w:rFonts w:cs="Times New Roman"/>
          <w:szCs w:val="24"/>
        </w:rPr>
        <w:t xml:space="preserve">, C., </w:t>
      </w:r>
      <w:proofErr w:type="spellStart"/>
      <w:r w:rsidRPr="004E46B8">
        <w:rPr>
          <w:rFonts w:cs="Times New Roman"/>
          <w:szCs w:val="24"/>
        </w:rPr>
        <w:t>Bachelerie</w:t>
      </w:r>
      <w:proofErr w:type="spellEnd"/>
      <w:r w:rsidRPr="004E46B8">
        <w:rPr>
          <w:rFonts w:cs="Times New Roman"/>
          <w:szCs w:val="24"/>
        </w:rPr>
        <w:t xml:space="preserve">, M., Pétorin, C., </w:t>
      </w:r>
      <w:proofErr w:type="spellStart"/>
      <w:r w:rsidRPr="004E46B8">
        <w:rPr>
          <w:rFonts w:cs="Times New Roman"/>
          <w:szCs w:val="24"/>
        </w:rPr>
        <w:t>Rouanet</w:t>
      </w:r>
      <w:proofErr w:type="spellEnd"/>
      <w:r w:rsidRPr="004E46B8">
        <w:rPr>
          <w:rFonts w:cs="Times New Roman"/>
          <w:szCs w:val="24"/>
        </w:rPr>
        <w:t xml:space="preserve">, J., </w:t>
      </w:r>
      <w:proofErr w:type="spellStart"/>
      <w:r w:rsidRPr="004E46B8">
        <w:rPr>
          <w:rFonts w:cs="Times New Roman"/>
          <w:szCs w:val="24"/>
        </w:rPr>
        <w:t>Cacheux</w:t>
      </w:r>
      <w:proofErr w:type="spellEnd"/>
      <w:r w:rsidRPr="004E46B8">
        <w:rPr>
          <w:rFonts w:cs="Times New Roman"/>
          <w:szCs w:val="24"/>
        </w:rPr>
        <w:t xml:space="preserve">, V., Bailly, S., </w:t>
      </w:r>
      <w:proofErr w:type="spellStart"/>
      <w:r w:rsidRPr="004E46B8">
        <w:rPr>
          <w:rFonts w:cs="Times New Roman"/>
          <w:szCs w:val="24"/>
        </w:rPr>
        <w:t>Bedhomme</w:t>
      </w:r>
      <w:proofErr w:type="spellEnd"/>
      <w:r w:rsidRPr="004E46B8">
        <w:rPr>
          <w:rFonts w:cs="Times New Roman"/>
          <w:szCs w:val="24"/>
        </w:rPr>
        <w:t xml:space="preserve">, S., </w:t>
      </w:r>
      <w:proofErr w:type="spellStart"/>
      <w:r w:rsidRPr="004E46B8">
        <w:rPr>
          <w:rFonts w:cs="Times New Roman"/>
          <w:szCs w:val="24"/>
        </w:rPr>
        <w:t>Vennat</w:t>
      </w:r>
      <w:proofErr w:type="spellEnd"/>
      <w:r w:rsidRPr="004E46B8">
        <w:rPr>
          <w:rFonts w:cs="Times New Roman"/>
          <w:szCs w:val="24"/>
        </w:rPr>
        <w:t xml:space="preserve">, B., Bahadoor, M., Merle, P., &amp; Bay, J.-O. (2023). Satisfaction of cancer patients treated with oral anticancer medications regarding dispensing by community pharmacists: A cross-sectional study. </w:t>
      </w:r>
      <w:r w:rsidRPr="004E46B8">
        <w:rPr>
          <w:rFonts w:cs="Times New Roman"/>
          <w:i/>
          <w:iCs/>
          <w:szCs w:val="24"/>
        </w:rPr>
        <w:t>European Journal of Cancer Care</w:t>
      </w:r>
      <w:r w:rsidRPr="004E46B8">
        <w:rPr>
          <w:rFonts w:cs="Times New Roman"/>
          <w:szCs w:val="24"/>
        </w:rPr>
        <w:t xml:space="preserve">. </w:t>
      </w:r>
      <w:hyperlink r:id="rId13" w:history="1">
        <w:r w:rsidR="00D705B9" w:rsidRPr="004E46B8">
          <w:rPr>
            <w:rStyle w:val="Hyperlink"/>
            <w:rFonts w:cs="Times New Roman"/>
            <w:szCs w:val="24"/>
          </w:rPr>
          <w:t>https://doi.org/10.1155/2023/7746349</w:t>
        </w:r>
      </w:hyperlink>
      <w:r w:rsidR="00D705B9">
        <w:rPr>
          <w:rFonts w:cs="Times New Roman"/>
          <w:szCs w:val="24"/>
        </w:rPr>
        <w:t xml:space="preserve"> </w:t>
      </w:r>
    </w:p>
    <w:p w14:paraId="70BBDC5A" w14:textId="3A20A7EE" w:rsidR="004E46B8" w:rsidRPr="004E46B8" w:rsidRDefault="004E46B8" w:rsidP="004E46B8">
      <w:pPr>
        <w:ind w:left="720" w:hanging="720"/>
        <w:rPr>
          <w:rFonts w:cs="Times New Roman"/>
          <w:szCs w:val="24"/>
        </w:rPr>
      </w:pPr>
      <w:r w:rsidRPr="004E46B8">
        <w:rPr>
          <w:rFonts w:cs="Times New Roman"/>
          <w:szCs w:val="24"/>
        </w:rPr>
        <w:t xml:space="preserve">Cerqueira, M., Martins, P., Ferreira, C., &amp; Alves, G. (2023). Evaluation of pharmaceutical care interventions during the COVID-19 pandemic: A systematic review. </w:t>
      </w:r>
      <w:r w:rsidRPr="004E46B8">
        <w:rPr>
          <w:rFonts w:cs="Times New Roman"/>
          <w:i/>
          <w:iCs/>
          <w:szCs w:val="24"/>
        </w:rPr>
        <w:t>Research in Social and Administrative Pharmacy, 19</w:t>
      </w:r>
      <w:r w:rsidRPr="004E46B8">
        <w:rPr>
          <w:rFonts w:cs="Times New Roman"/>
          <w:szCs w:val="24"/>
        </w:rPr>
        <w:t xml:space="preserve">(1), 134–143. </w:t>
      </w:r>
      <w:hyperlink r:id="rId14" w:history="1">
        <w:r w:rsidR="00D705B9" w:rsidRPr="004E46B8">
          <w:rPr>
            <w:rStyle w:val="Hyperlink"/>
            <w:rFonts w:cs="Times New Roman"/>
            <w:szCs w:val="24"/>
          </w:rPr>
          <w:t>https://doi.org/10.1016/j.sapharm.2022.06.001</w:t>
        </w:r>
      </w:hyperlink>
      <w:r w:rsidR="00D705B9">
        <w:rPr>
          <w:rFonts w:cs="Times New Roman"/>
          <w:szCs w:val="24"/>
        </w:rPr>
        <w:t xml:space="preserve"> </w:t>
      </w:r>
    </w:p>
    <w:p w14:paraId="72015052" w14:textId="15F7C73E" w:rsidR="004E46B8" w:rsidRPr="004E46B8" w:rsidRDefault="004E46B8" w:rsidP="004E46B8">
      <w:pPr>
        <w:ind w:left="720" w:hanging="720"/>
        <w:rPr>
          <w:rFonts w:cs="Times New Roman"/>
          <w:szCs w:val="24"/>
        </w:rPr>
      </w:pPr>
      <w:r w:rsidRPr="004E46B8">
        <w:rPr>
          <w:rFonts w:cs="Times New Roman"/>
          <w:szCs w:val="24"/>
        </w:rPr>
        <w:t xml:space="preserve">Cornelissen, N., </w:t>
      </w:r>
      <w:proofErr w:type="spellStart"/>
      <w:r w:rsidRPr="004E46B8">
        <w:rPr>
          <w:rFonts w:cs="Times New Roman"/>
          <w:szCs w:val="24"/>
        </w:rPr>
        <w:t>Karapinar-Çarkit</w:t>
      </w:r>
      <w:proofErr w:type="spellEnd"/>
      <w:r w:rsidRPr="004E46B8">
        <w:rPr>
          <w:rFonts w:cs="Times New Roman"/>
          <w:szCs w:val="24"/>
        </w:rPr>
        <w:t xml:space="preserve">, F., Heer, S. E., </w:t>
      </w:r>
      <w:proofErr w:type="spellStart"/>
      <w:r w:rsidRPr="004E46B8">
        <w:rPr>
          <w:rFonts w:cs="Times New Roman"/>
          <w:szCs w:val="24"/>
        </w:rPr>
        <w:t>Uitvlugt</w:t>
      </w:r>
      <w:proofErr w:type="spellEnd"/>
      <w:r w:rsidRPr="004E46B8">
        <w:rPr>
          <w:rFonts w:cs="Times New Roman"/>
          <w:szCs w:val="24"/>
        </w:rPr>
        <w:t xml:space="preserve">, E. B., </w:t>
      </w:r>
      <w:proofErr w:type="spellStart"/>
      <w:r w:rsidRPr="004E46B8">
        <w:rPr>
          <w:rFonts w:cs="Times New Roman"/>
          <w:szCs w:val="24"/>
        </w:rPr>
        <w:t>Hugtenburg</w:t>
      </w:r>
      <w:proofErr w:type="spellEnd"/>
      <w:r w:rsidRPr="004E46B8">
        <w:rPr>
          <w:rFonts w:cs="Times New Roman"/>
          <w:szCs w:val="24"/>
        </w:rPr>
        <w:t xml:space="preserve">, J. G., van den Bemt, P. M. L. A., van den Bemt, B. J. F., &amp; Bekker, C. L. (2022). Application of intervention mapping to develop and evaluate a pharmaceutical discharge letter to improve information transfer between hospital and community pharmacists. </w:t>
      </w:r>
      <w:r w:rsidRPr="004E46B8">
        <w:rPr>
          <w:rFonts w:cs="Times New Roman"/>
          <w:i/>
          <w:iCs/>
          <w:szCs w:val="24"/>
        </w:rPr>
        <w:t>Research in Social &amp; Administrative Pharmacy, 18</w:t>
      </w:r>
      <w:r w:rsidRPr="004E46B8">
        <w:rPr>
          <w:rFonts w:cs="Times New Roman"/>
          <w:szCs w:val="24"/>
        </w:rPr>
        <w:t xml:space="preserve">(8), 3297–3302. </w:t>
      </w:r>
      <w:hyperlink r:id="rId15" w:history="1">
        <w:r w:rsidR="00D705B9" w:rsidRPr="004E46B8">
          <w:rPr>
            <w:rStyle w:val="Hyperlink"/>
            <w:rFonts w:cs="Times New Roman"/>
            <w:szCs w:val="24"/>
          </w:rPr>
          <w:t>https://doi.org/10.1016/j.sapharm.2021.10.001</w:t>
        </w:r>
      </w:hyperlink>
      <w:r w:rsidR="00D705B9">
        <w:rPr>
          <w:rFonts w:cs="Times New Roman"/>
          <w:szCs w:val="24"/>
        </w:rPr>
        <w:t xml:space="preserve"> </w:t>
      </w:r>
    </w:p>
    <w:p w14:paraId="377352A6" w14:textId="07D4A7CC" w:rsidR="004E46B8" w:rsidRDefault="004E46B8" w:rsidP="004E46B8">
      <w:pPr>
        <w:ind w:left="720" w:hanging="720"/>
        <w:rPr>
          <w:rFonts w:cs="Times New Roman"/>
          <w:szCs w:val="24"/>
        </w:rPr>
      </w:pPr>
      <w:r w:rsidRPr="004E46B8">
        <w:rPr>
          <w:rFonts w:cs="Times New Roman"/>
          <w:szCs w:val="24"/>
        </w:rPr>
        <w:t xml:space="preserve">Cossette, B., </w:t>
      </w:r>
      <w:proofErr w:type="spellStart"/>
      <w:r w:rsidRPr="004E46B8">
        <w:rPr>
          <w:rFonts w:cs="Times New Roman"/>
          <w:szCs w:val="24"/>
        </w:rPr>
        <w:t>Bussières</w:t>
      </w:r>
      <w:proofErr w:type="spellEnd"/>
      <w:r w:rsidRPr="004E46B8">
        <w:rPr>
          <w:rFonts w:cs="Times New Roman"/>
          <w:szCs w:val="24"/>
        </w:rPr>
        <w:t xml:space="preserve">, J.F., &amp; Dugas, M. (2021). Impact of pharmacists’ discharge medication review and patient counseling on hospital </w:t>
      </w:r>
      <w:proofErr w:type="gramStart"/>
      <w:r w:rsidRPr="004E46B8">
        <w:rPr>
          <w:rFonts w:cs="Times New Roman"/>
          <w:szCs w:val="24"/>
        </w:rPr>
        <w:t>readmission</w:t>
      </w:r>
      <w:proofErr w:type="gramEnd"/>
      <w:r w:rsidRPr="004E46B8">
        <w:rPr>
          <w:rFonts w:cs="Times New Roman"/>
          <w:szCs w:val="24"/>
        </w:rPr>
        <w:t xml:space="preserve">: A randomized controlled trial. </w:t>
      </w:r>
      <w:r w:rsidRPr="004E46B8">
        <w:rPr>
          <w:rFonts w:cs="Times New Roman"/>
          <w:i/>
          <w:iCs/>
          <w:szCs w:val="24"/>
        </w:rPr>
        <w:lastRenderedPageBreak/>
        <w:t>Research in Social &amp; Administrative Pharmacy, 17</w:t>
      </w:r>
      <w:r w:rsidRPr="004E46B8">
        <w:rPr>
          <w:rFonts w:cs="Times New Roman"/>
          <w:szCs w:val="24"/>
        </w:rPr>
        <w:t xml:space="preserve">(9), 1544–1551. </w:t>
      </w:r>
      <w:hyperlink r:id="rId16" w:history="1">
        <w:r w:rsidR="00D705B9" w:rsidRPr="004E46B8">
          <w:rPr>
            <w:rStyle w:val="Hyperlink"/>
            <w:rFonts w:cs="Times New Roman"/>
            <w:szCs w:val="24"/>
          </w:rPr>
          <w:t>https://doi.org/10.1016/j.sapharm.2020.11.011</w:t>
        </w:r>
      </w:hyperlink>
    </w:p>
    <w:p w14:paraId="72554986" w14:textId="2423FA09" w:rsidR="00D705B9" w:rsidRPr="004E46B8" w:rsidRDefault="00D705B9" w:rsidP="00D705B9">
      <w:pPr>
        <w:ind w:left="720" w:hanging="720"/>
        <w:rPr>
          <w:rFonts w:cs="Times New Roman"/>
          <w:szCs w:val="24"/>
        </w:rPr>
      </w:pPr>
      <w:r w:rsidRPr="00D705B9">
        <w:rPr>
          <w:rFonts w:cs="Times New Roman"/>
          <w:i/>
          <w:iCs/>
          <w:szCs w:val="24"/>
        </w:rPr>
        <w:t>English Standard Version.</w:t>
      </w:r>
      <w:r w:rsidRPr="00D705B9">
        <w:rPr>
          <w:rFonts w:cs="Times New Roman"/>
          <w:szCs w:val="24"/>
        </w:rPr>
        <w:t xml:space="preserve"> (2016). Crossway Bibles. (Original work published 2001)</w:t>
      </w:r>
    </w:p>
    <w:p w14:paraId="5E3683B1" w14:textId="77777777" w:rsidR="004E46B8" w:rsidRPr="004E46B8" w:rsidRDefault="004E46B8" w:rsidP="004E46B8">
      <w:pPr>
        <w:ind w:left="720" w:hanging="720"/>
        <w:rPr>
          <w:rFonts w:cs="Times New Roman"/>
          <w:szCs w:val="24"/>
        </w:rPr>
      </w:pPr>
      <w:r w:rsidRPr="004E46B8">
        <w:rPr>
          <w:rFonts w:cs="Times New Roman"/>
          <w:szCs w:val="24"/>
        </w:rPr>
        <w:t xml:space="preserve">Green, T., Grant, A., &amp; Edwards, J. (2024). The role of visual dashboards in evaluating hospital-based pharmacy services. </w:t>
      </w:r>
      <w:r w:rsidRPr="004E46B8">
        <w:rPr>
          <w:rFonts w:cs="Times New Roman"/>
          <w:i/>
          <w:iCs/>
          <w:szCs w:val="24"/>
        </w:rPr>
        <w:t>Journal of Health Informatics, 45</w:t>
      </w:r>
      <w:r w:rsidRPr="004E46B8">
        <w:rPr>
          <w:rFonts w:cs="Times New Roman"/>
          <w:szCs w:val="24"/>
        </w:rPr>
        <w:t>(1), 88–99.</w:t>
      </w:r>
    </w:p>
    <w:p w14:paraId="6C6711E3" w14:textId="325892C1" w:rsidR="004E46B8" w:rsidRPr="004E46B8" w:rsidRDefault="004E46B8" w:rsidP="004E46B8">
      <w:pPr>
        <w:ind w:left="720" w:hanging="720"/>
        <w:rPr>
          <w:rFonts w:cs="Times New Roman"/>
          <w:szCs w:val="24"/>
        </w:rPr>
      </w:pPr>
      <w:proofErr w:type="spellStart"/>
      <w:r w:rsidRPr="004E46B8">
        <w:rPr>
          <w:rFonts w:cs="Times New Roman"/>
          <w:szCs w:val="24"/>
        </w:rPr>
        <w:t>Havnes</w:t>
      </w:r>
      <w:proofErr w:type="spellEnd"/>
      <w:r w:rsidRPr="004E46B8">
        <w:rPr>
          <w:rFonts w:cs="Times New Roman"/>
          <w:szCs w:val="24"/>
        </w:rPr>
        <w:t xml:space="preserve">, K., Vassbotn, F. S., &amp; Berg, T. J. (2021). Time-motion analysis in clinical pharmacy: A tool for measuring workload and identifying areas for improvement. </w:t>
      </w:r>
      <w:r w:rsidRPr="004E46B8">
        <w:rPr>
          <w:rFonts w:cs="Times New Roman"/>
          <w:i/>
          <w:iCs/>
          <w:szCs w:val="24"/>
        </w:rPr>
        <w:t>Pharmacy Practice, 19</w:t>
      </w:r>
      <w:r w:rsidRPr="004E46B8">
        <w:rPr>
          <w:rFonts w:cs="Times New Roman"/>
          <w:szCs w:val="24"/>
        </w:rPr>
        <w:t xml:space="preserve">(3), 2442–2448. </w:t>
      </w:r>
      <w:hyperlink r:id="rId17" w:history="1">
        <w:r w:rsidR="00D705B9" w:rsidRPr="004E46B8">
          <w:rPr>
            <w:rStyle w:val="Hyperlink"/>
            <w:rFonts w:cs="Times New Roman"/>
            <w:szCs w:val="24"/>
          </w:rPr>
          <w:t>https://doi.org/10.18549/PharmPract.2021.3.2442</w:t>
        </w:r>
      </w:hyperlink>
      <w:r w:rsidR="00D705B9">
        <w:rPr>
          <w:rFonts w:cs="Times New Roman"/>
          <w:szCs w:val="24"/>
        </w:rPr>
        <w:t xml:space="preserve"> </w:t>
      </w:r>
    </w:p>
    <w:p w14:paraId="49262395" w14:textId="1125E0A7" w:rsidR="004E46B8" w:rsidRPr="004E46B8" w:rsidRDefault="004E46B8" w:rsidP="004E46B8">
      <w:pPr>
        <w:ind w:left="720" w:hanging="720"/>
        <w:rPr>
          <w:rFonts w:cs="Times New Roman"/>
          <w:szCs w:val="24"/>
        </w:rPr>
      </w:pPr>
      <w:proofErr w:type="spellStart"/>
      <w:r w:rsidRPr="004E46B8">
        <w:rPr>
          <w:rFonts w:cs="Times New Roman"/>
          <w:szCs w:val="24"/>
        </w:rPr>
        <w:t>Herledan</w:t>
      </w:r>
      <w:proofErr w:type="spellEnd"/>
      <w:r w:rsidRPr="004E46B8">
        <w:rPr>
          <w:rFonts w:cs="Times New Roman"/>
          <w:szCs w:val="24"/>
        </w:rPr>
        <w:t xml:space="preserve">, C., Schmitt, C., Moreau, F., &amp; </w:t>
      </w:r>
      <w:proofErr w:type="spellStart"/>
      <w:r w:rsidRPr="004E46B8">
        <w:rPr>
          <w:rFonts w:cs="Times New Roman"/>
          <w:szCs w:val="24"/>
        </w:rPr>
        <w:t>Duflot</w:t>
      </w:r>
      <w:proofErr w:type="spellEnd"/>
      <w:r w:rsidRPr="004E46B8">
        <w:rPr>
          <w:rFonts w:cs="Times New Roman"/>
          <w:szCs w:val="24"/>
        </w:rPr>
        <w:t xml:space="preserve">, T. (2024). Hospital pharmacist-led medication reconciliation: A tool to reduce readmissions in elderly patients. </w:t>
      </w:r>
      <w:r w:rsidRPr="004E46B8">
        <w:rPr>
          <w:rFonts w:cs="Times New Roman"/>
          <w:i/>
          <w:iCs/>
          <w:szCs w:val="24"/>
        </w:rPr>
        <w:t>International Journal of Clinical Pharmacy, 46</w:t>
      </w:r>
      <w:r w:rsidRPr="004E46B8">
        <w:rPr>
          <w:rFonts w:cs="Times New Roman"/>
          <w:szCs w:val="24"/>
        </w:rPr>
        <w:t>(1), 33–41.</w:t>
      </w:r>
      <w:r w:rsidR="001B6431">
        <w:rPr>
          <w:rFonts w:cs="Times New Roman"/>
          <w:szCs w:val="24"/>
        </w:rPr>
        <w:t xml:space="preserve"> </w:t>
      </w:r>
      <w:hyperlink r:id="rId18" w:history="1">
        <w:r w:rsidR="001B6431" w:rsidRPr="00051256">
          <w:rPr>
            <w:rStyle w:val="Hyperlink"/>
            <w:rFonts w:cs="Times New Roman"/>
            <w:szCs w:val="24"/>
          </w:rPr>
          <w:t>https://doi.org/10.1111/jgs.18585</w:t>
        </w:r>
      </w:hyperlink>
      <w:r w:rsidR="005E077B">
        <w:rPr>
          <w:rFonts w:cs="Times New Roman"/>
          <w:szCs w:val="24"/>
        </w:rPr>
        <w:t xml:space="preserve"> </w:t>
      </w:r>
    </w:p>
    <w:p w14:paraId="572FD72E" w14:textId="1E8A121F" w:rsidR="004E46B8" w:rsidRPr="004E46B8" w:rsidRDefault="004E46B8" w:rsidP="004E46B8">
      <w:pPr>
        <w:ind w:left="720" w:hanging="720"/>
        <w:rPr>
          <w:rFonts w:cs="Times New Roman"/>
          <w:szCs w:val="24"/>
        </w:rPr>
      </w:pPr>
      <w:r w:rsidRPr="004E46B8">
        <w:rPr>
          <w:rFonts w:cs="Times New Roman"/>
          <w:szCs w:val="24"/>
        </w:rPr>
        <w:t xml:space="preserve">James, E., Kilpatrick, A., &amp; Cole, R. (2023). Using implementation science to guide hospital pharmacy evaluations: The CFIR model in practice. </w:t>
      </w:r>
      <w:r w:rsidRPr="004E46B8">
        <w:rPr>
          <w:rFonts w:cs="Times New Roman"/>
          <w:i/>
          <w:iCs/>
          <w:szCs w:val="24"/>
        </w:rPr>
        <w:t>Implementation Science Reports, 4</w:t>
      </w:r>
      <w:r w:rsidRPr="004E46B8">
        <w:rPr>
          <w:rFonts w:cs="Times New Roman"/>
          <w:szCs w:val="24"/>
        </w:rPr>
        <w:t>(2), 101–112.</w:t>
      </w:r>
      <w:r w:rsidR="001B6431">
        <w:rPr>
          <w:rFonts w:cs="Times New Roman"/>
          <w:szCs w:val="24"/>
        </w:rPr>
        <w:t xml:space="preserve"> </w:t>
      </w:r>
      <w:hyperlink r:id="rId19" w:history="1">
        <w:r w:rsidR="001B6431" w:rsidRPr="00051256">
          <w:rPr>
            <w:rStyle w:val="Hyperlink"/>
            <w:rFonts w:cs="Times New Roman"/>
            <w:szCs w:val="24"/>
          </w:rPr>
          <w:t>https://doi.org/10.1016/j.sapharm.2023.08.006</w:t>
        </w:r>
      </w:hyperlink>
    </w:p>
    <w:p w14:paraId="615EE78F" w14:textId="51DFF995" w:rsidR="004E46B8" w:rsidRPr="004E46B8" w:rsidRDefault="004E46B8" w:rsidP="004E46B8">
      <w:pPr>
        <w:ind w:left="720" w:hanging="720"/>
        <w:rPr>
          <w:rFonts w:cs="Times New Roman"/>
          <w:szCs w:val="24"/>
        </w:rPr>
      </w:pPr>
      <w:r w:rsidRPr="004E46B8">
        <w:rPr>
          <w:rFonts w:cs="Times New Roman"/>
          <w:szCs w:val="24"/>
        </w:rPr>
        <w:t xml:space="preserve">Ji, H., Zhang, J., Yuan, Y., &amp; Wang, C. (2023). </w:t>
      </w:r>
      <w:proofErr w:type="spellStart"/>
      <w:r w:rsidRPr="004E46B8">
        <w:rPr>
          <w:rFonts w:cs="Times New Roman"/>
          <w:szCs w:val="24"/>
        </w:rPr>
        <w:t>Telepharmacy</w:t>
      </w:r>
      <w:proofErr w:type="spellEnd"/>
      <w:r w:rsidRPr="004E46B8">
        <w:rPr>
          <w:rFonts w:cs="Times New Roman"/>
          <w:szCs w:val="24"/>
        </w:rPr>
        <w:t xml:space="preserve"> services during COVID-19: A hospital experience. </w:t>
      </w:r>
      <w:r w:rsidRPr="004E46B8">
        <w:rPr>
          <w:rFonts w:cs="Times New Roman"/>
          <w:i/>
          <w:iCs/>
          <w:szCs w:val="24"/>
        </w:rPr>
        <w:t>Telemedicine and e-Health, 29</w:t>
      </w:r>
      <w:r w:rsidRPr="004E46B8">
        <w:rPr>
          <w:rFonts w:cs="Times New Roman"/>
          <w:szCs w:val="24"/>
        </w:rPr>
        <w:t xml:space="preserve">(1), 34–40. </w:t>
      </w:r>
      <w:hyperlink r:id="rId20" w:history="1">
        <w:r w:rsidR="001B6431" w:rsidRPr="004E46B8">
          <w:rPr>
            <w:rStyle w:val="Hyperlink"/>
            <w:rFonts w:cs="Times New Roman"/>
            <w:szCs w:val="24"/>
          </w:rPr>
          <w:t>https://doi.org/10.1089/tmj.2022.0011</w:t>
        </w:r>
      </w:hyperlink>
      <w:r w:rsidR="001B6431">
        <w:rPr>
          <w:rFonts w:cs="Times New Roman"/>
          <w:szCs w:val="24"/>
        </w:rPr>
        <w:t xml:space="preserve"> </w:t>
      </w:r>
    </w:p>
    <w:p w14:paraId="10E64FB7" w14:textId="011049F9" w:rsidR="004E46B8" w:rsidRPr="004E46B8" w:rsidRDefault="004E46B8" w:rsidP="004E46B8">
      <w:pPr>
        <w:ind w:left="720" w:hanging="720"/>
        <w:rPr>
          <w:rFonts w:cs="Times New Roman"/>
          <w:szCs w:val="24"/>
        </w:rPr>
      </w:pPr>
      <w:r w:rsidRPr="004E46B8">
        <w:rPr>
          <w:rFonts w:cs="Times New Roman"/>
          <w:szCs w:val="24"/>
        </w:rPr>
        <w:t xml:space="preserve">Liu, J., Zhang, M., Luo, J., Xie, J., Chen, X., Wang, H., Li, S., Yang, S., Peng, C., Yang, L., Deng, B., Zhang, Y., Wang, C., Hu, J., &amp; Shi, C. (2021). Practice, knowledge, and attitude of health care providers regarding cancer pain management: A national survey. </w:t>
      </w:r>
      <w:r w:rsidRPr="004E46B8">
        <w:rPr>
          <w:rFonts w:cs="Times New Roman"/>
          <w:i/>
          <w:iCs/>
          <w:szCs w:val="24"/>
        </w:rPr>
        <w:t>Pain Research &amp; Management, 2021</w:t>
      </w:r>
      <w:r w:rsidRPr="004E46B8">
        <w:rPr>
          <w:rFonts w:cs="Times New Roman"/>
          <w:szCs w:val="24"/>
        </w:rPr>
        <w:t xml:space="preserve">. </w:t>
      </w:r>
      <w:hyperlink r:id="rId21" w:history="1">
        <w:r w:rsidR="001B6431" w:rsidRPr="004E46B8">
          <w:rPr>
            <w:rStyle w:val="Hyperlink"/>
            <w:rFonts w:cs="Times New Roman"/>
            <w:szCs w:val="24"/>
          </w:rPr>
          <w:t>https://doi.org/10.1155/2021/1247202</w:t>
        </w:r>
      </w:hyperlink>
      <w:r w:rsidR="001B6431">
        <w:rPr>
          <w:rFonts w:cs="Times New Roman"/>
          <w:szCs w:val="24"/>
        </w:rPr>
        <w:t xml:space="preserve"> </w:t>
      </w:r>
    </w:p>
    <w:p w14:paraId="6E8CCF22" w14:textId="5FC9B72F" w:rsidR="004E46B8" w:rsidRPr="004E46B8" w:rsidRDefault="004E46B8" w:rsidP="004E46B8">
      <w:pPr>
        <w:ind w:left="720" w:hanging="720"/>
        <w:rPr>
          <w:rFonts w:cs="Times New Roman"/>
          <w:szCs w:val="24"/>
        </w:rPr>
      </w:pPr>
      <w:r w:rsidRPr="004E46B8">
        <w:rPr>
          <w:rFonts w:cs="Times New Roman"/>
          <w:szCs w:val="24"/>
        </w:rPr>
        <w:lastRenderedPageBreak/>
        <w:t xml:space="preserve">McCleery, N., Caze, A. L., Winckel, K., &amp; Hattingh, H. L. (2024). Evaluation of an interactive education workshop on hospital pharmacists’ ethical reasoning: An observational study. </w:t>
      </w:r>
      <w:r w:rsidRPr="004E46B8">
        <w:rPr>
          <w:rFonts w:cs="Times New Roman"/>
          <w:i/>
          <w:iCs/>
          <w:szCs w:val="24"/>
        </w:rPr>
        <w:t>BMC Medical Ethics, 25</w:t>
      </w:r>
      <w:r w:rsidRPr="004E46B8">
        <w:rPr>
          <w:rFonts w:cs="Times New Roman"/>
          <w:szCs w:val="24"/>
        </w:rPr>
        <w:t>(1).</w:t>
      </w:r>
      <w:r w:rsidR="00C46FFC">
        <w:rPr>
          <w:rFonts w:cs="Times New Roman"/>
          <w:szCs w:val="24"/>
        </w:rPr>
        <w:t xml:space="preserve"> </w:t>
      </w:r>
      <w:hyperlink r:id="rId22" w:history="1">
        <w:r w:rsidR="00C46FFC" w:rsidRPr="00051256">
          <w:rPr>
            <w:rStyle w:val="Hyperlink"/>
            <w:rFonts w:cs="Times New Roman"/>
            <w:szCs w:val="24"/>
          </w:rPr>
          <w:t>https://doi.org/10.1186/s12910-024-01082-4</w:t>
        </w:r>
      </w:hyperlink>
      <w:r w:rsidR="00C46FFC">
        <w:rPr>
          <w:rFonts w:cs="Times New Roman"/>
          <w:szCs w:val="24"/>
        </w:rPr>
        <w:t xml:space="preserve"> </w:t>
      </w:r>
    </w:p>
    <w:p w14:paraId="2AF33946" w14:textId="43389DC3" w:rsidR="004E46B8" w:rsidRPr="004E46B8" w:rsidRDefault="004E46B8" w:rsidP="004E46B8">
      <w:pPr>
        <w:ind w:left="720" w:hanging="720"/>
        <w:rPr>
          <w:rFonts w:cs="Times New Roman"/>
          <w:szCs w:val="24"/>
        </w:rPr>
      </w:pPr>
      <w:proofErr w:type="spellStart"/>
      <w:r w:rsidRPr="004E46B8">
        <w:rPr>
          <w:rFonts w:cs="Times New Roman"/>
          <w:szCs w:val="24"/>
        </w:rPr>
        <w:t>Murteira</w:t>
      </w:r>
      <w:proofErr w:type="spellEnd"/>
      <w:r w:rsidRPr="004E46B8">
        <w:rPr>
          <w:rFonts w:cs="Times New Roman"/>
          <w:szCs w:val="24"/>
        </w:rPr>
        <w:t xml:space="preserve">, R., Romano, S., Teixeira, I., Bulhosa, C., Sousa, S., Conceição, M. I., Fonseca-Silva, A., Martins, H., &amp; Teixeira Rodrigues, A. (2022). Real-world impact of transferring the dispensing of hospital-only medicines to community pharmacies. </w:t>
      </w:r>
      <w:r w:rsidRPr="004E46B8">
        <w:rPr>
          <w:rFonts w:cs="Times New Roman"/>
          <w:i/>
          <w:iCs/>
          <w:szCs w:val="24"/>
        </w:rPr>
        <w:t>Health Policy, 126</w:t>
      </w:r>
      <w:r w:rsidRPr="004E46B8">
        <w:rPr>
          <w:rFonts w:cs="Times New Roman"/>
          <w:szCs w:val="24"/>
        </w:rPr>
        <w:t xml:space="preserve">(2), 101–107. </w:t>
      </w:r>
      <w:hyperlink r:id="rId23" w:history="1">
        <w:r w:rsidR="001B6431" w:rsidRPr="004E46B8">
          <w:rPr>
            <w:rStyle w:val="Hyperlink"/>
            <w:rFonts w:cs="Times New Roman"/>
            <w:szCs w:val="24"/>
          </w:rPr>
          <w:t>https://doi.org/10.1016/j.healthpol.2021.11.007</w:t>
        </w:r>
      </w:hyperlink>
      <w:r w:rsidR="001B6431">
        <w:rPr>
          <w:rFonts w:cs="Times New Roman"/>
          <w:szCs w:val="24"/>
        </w:rPr>
        <w:t xml:space="preserve"> </w:t>
      </w:r>
    </w:p>
    <w:p w14:paraId="4FE8F7E3" w14:textId="06F81FC4" w:rsidR="004E46B8" w:rsidRPr="004E46B8" w:rsidRDefault="004E46B8" w:rsidP="004E46B8">
      <w:pPr>
        <w:ind w:left="720" w:hanging="720"/>
        <w:rPr>
          <w:rFonts w:cs="Times New Roman"/>
          <w:szCs w:val="24"/>
        </w:rPr>
      </w:pPr>
      <w:r w:rsidRPr="004E46B8">
        <w:rPr>
          <w:rFonts w:cs="Times New Roman"/>
          <w:szCs w:val="24"/>
        </w:rPr>
        <w:t xml:space="preserve">Newham, R., Weir, N., Ferguson, A., &amp; Bennie, M. (2023). Identifying the important outcomes to </w:t>
      </w:r>
      <w:proofErr w:type="gramStart"/>
      <w:r w:rsidRPr="004E46B8">
        <w:rPr>
          <w:rFonts w:cs="Times New Roman"/>
          <w:szCs w:val="24"/>
        </w:rPr>
        <w:t>measure for</w:t>
      </w:r>
      <w:proofErr w:type="gramEnd"/>
      <w:r w:rsidRPr="004E46B8">
        <w:rPr>
          <w:rFonts w:cs="Times New Roman"/>
          <w:szCs w:val="24"/>
        </w:rPr>
        <w:t xml:space="preserve"> pharmacy-led, clinical services within primary care: A nominal group technique approach. </w:t>
      </w:r>
      <w:r w:rsidRPr="004E46B8">
        <w:rPr>
          <w:rFonts w:cs="Times New Roman"/>
          <w:i/>
          <w:iCs/>
          <w:szCs w:val="24"/>
        </w:rPr>
        <w:t>Research in Social &amp; Administrative Pharmacy, 19</w:t>
      </w:r>
      <w:r w:rsidRPr="004E46B8">
        <w:rPr>
          <w:rFonts w:cs="Times New Roman"/>
          <w:szCs w:val="24"/>
        </w:rPr>
        <w:t xml:space="preserve">(3), 468–476. </w:t>
      </w:r>
      <w:hyperlink r:id="rId24" w:history="1">
        <w:r w:rsidR="001B6431" w:rsidRPr="004E46B8">
          <w:rPr>
            <w:rStyle w:val="Hyperlink"/>
            <w:rFonts w:cs="Times New Roman"/>
            <w:szCs w:val="24"/>
          </w:rPr>
          <w:t>https://doi.org/10.1016/j.sapharm.2022.11.003</w:t>
        </w:r>
      </w:hyperlink>
      <w:r w:rsidR="001B6431">
        <w:rPr>
          <w:rFonts w:cs="Times New Roman"/>
          <w:szCs w:val="24"/>
        </w:rPr>
        <w:t xml:space="preserve"> </w:t>
      </w:r>
    </w:p>
    <w:p w14:paraId="377AA7EA" w14:textId="57226E98" w:rsidR="004E46B8" w:rsidRPr="004E46B8" w:rsidRDefault="004E46B8" w:rsidP="004E46B8">
      <w:pPr>
        <w:ind w:left="720" w:hanging="720"/>
        <w:rPr>
          <w:rFonts w:cs="Times New Roman"/>
          <w:szCs w:val="24"/>
        </w:rPr>
      </w:pPr>
      <w:r w:rsidRPr="004E46B8">
        <w:rPr>
          <w:rFonts w:cs="Times New Roman"/>
          <w:szCs w:val="24"/>
        </w:rPr>
        <w:t xml:space="preserve">Ogilvie, M., Nissen, L., Kyle, G., &amp; Hale, A. (2022). An evaluation of a collaborative pharmacist prescribing model compared to the usual medical prescribing model in the emergency department. </w:t>
      </w:r>
      <w:r w:rsidRPr="004E46B8">
        <w:rPr>
          <w:rFonts w:cs="Times New Roman"/>
          <w:i/>
          <w:iCs/>
          <w:szCs w:val="24"/>
        </w:rPr>
        <w:t>Research in Social &amp; Administrative Pharmacy, 18</w:t>
      </w:r>
      <w:r w:rsidRPr="004E46B8">
        <w:rPr>
          <w:rFonts w:cs="Times New Roman"/>
          <w:szCs w:val="24"/>
        </w:rPr>
        <w:t xml:space="preserve">(10), 3744–3750. </w:t>
      </w:r>
      <w:hyperlink r:id="rId25" w:history="1">
        <w:r w:rsidR="001B6431" w:rsidRPr="004E46B8">
          <w:rPr>
            <w:rStyle w:val="Hyperlink"/>
            <w:rFonts w:cs="Times New Roman"/>
            <w:szCs w:val="24"/>
          </w:rPr>
          <w:t>https://doi.org/10.1016/j.sapharm.2022.05.005</w:t>
        </w:r>
      </w:hyperlink>
      <w:r w:rsidR="001B6431">
        <w:rPr>
          <w:rFonts w:cs="Times New Roman"/>
          <w:szCs w:val="24"/>
        </w:rPr>
        <w:t xml:space="preserve"> </w:t>
      </w:r>
    </w:p>
    <w:p w14:paraId="77889DC9" w14:textId="17370D7C" w:rsidR="004E46B8" w:rsidRPr="004E46B8" w:rsidRDefault="004E46B8" w:rsidP="0021280A">
      <w:pPr>
        <w:ind w:left="720" w:hanging="720"/>
        <w:rPr>
          <w:rFonts w:cs="Times New Roman"/>
          <w:szCs w:val="24"/>
        </w:rPr>
      </w:pPr>
      <w:r w:rsidRPr="004E46B8">
        <w:rPr>
          <w:rFonts w:cs="Times New Roman"/>
          <w:szCs w:val="24"/>
        </w:rPr>
        <w:t xml:space="preserve">Royse, D., Thyer, B. A., &amp; Padgett, D. K. (2016). </w:t>
      </w:r>
      <w:r w:rsidRPr="004E46B8">
        <w:rPr>
          <w:rFonts w:cs="Times New Roman"/>
          <w:i/>
          <w:iCs/>
          <w:szCs w:val="24"/>
        </w:rPr>
        <w:t>Program evaluation: An introduction to an evidence-based approach</w:t>
      </w:r>
      <w:r w:rsidRPr="004E46B8">
        <w:rPr>
          <w:rFonts w:cs="Times New Roman"/>
          <w:szCs w:val="24"/>
        </w:rPr>
        <w:t xml:space="preserve"> (6th ed.). Cengage Learning.</w:t>
      </w:r>
      <w:r w:rsidR="0021280A">
        <w:rPr>
          <w:rFonts w:cs="Times New Roman"/>
          <w:szCs w:val="24"/>
        </w:rPr>
        <w:t xml:space="preserve"> </w:t>
      </w:r>
      <w:hyperlink r:id="rId26" w:anchor="!/reader/4b043ba5-f3a3-4c9e-a2f4-8d31d931f916/page/bc156d32b6584c404f6bdbad5a68a159" w:history="1">
        <w:r w:rsidR="0021280A" w:rsidRPr="00051256">
          <w:rPr>
            <w:rStyle w:val="Hyperlink"/>
            <w:rFonts w:cs="Times New Roman"/>
            <w:szCs w:val="24"/>
          </w:rPr>
          <w:t>https://ebooks.cenreader.com/#!/reader/4b043ba5-f3a3-4c9e-a2f4-8d31d931f916/page/bc156d32b6584c404f6bdbad5a68a159</w:t>
        </w:r>
      </w:hyperlink>
      <w:r w:rsidR="0021280A" w:rsidRPr="00287955">
        <w:rPr>
          <w:rFonts w:cs="Times New Roman"/>
          <w:szCs w:val="24"/>
        </w:rPr>
        <w:t xml:space="preserve"> </w:t>
      </w:r>
    </w:p>
    <w:p w14:paraId="706D05E5" w14:textId="691A231F" w:rsidR="0048176F" w:rsidRPr="00651B5D" w:rsidRDefault="004E46B8" w:rsidP="00D705B9">
      <w:pPr>
        <w:ind w:left="720" w:hanging="720"/>
        <w:rPr>
          <w:rFonts w:cs="Times New Roman"/>
          <w:szCs w:val="24"/>
        </w:rPr>
      </w:pPr>
      <w:r w:rsidRPr="004E46B8">
        <w:rPr>
          <w:rFonts w:cs="Times New Roman"/>
          <w:szCs w:val="24"/>
        </w:rPr>
        <w:t xml:space="preserve">Zheng, Y., Tang, Y., Tseng, H.C., Chang, T.H., Li, L., Chen, P., Tang, Y., Lin, X., Chen, X., &amp; Tang, K.-J. (2022). Evaluation of quality and readability of over-the-counter medication package inserts. </w:t>
      </w:r>
      <w:r w:rsidRPr="004E46B8">
        <w:rPr>
          <w:rFonts w:cs="Times New Roman"/>
          <w:i/>
          <w:iCs/>
          <w:szCs w:val="24"/>
        </w:rPr>
        <w:t>Research in Social &amp; Administrative Pharmacy, 18</w:t>
      </w:r>
      <w:r w:rsidRPr="004E46B8">
        <w:rPr>
          <w:rFonts w:cs="Times New Roman"/>
          <w:szCs w:val="24"/>
        </w:rPr>
        <w:t xml:space="preserve">(9), 3560–3567. </w:t>
      </w:r>
      <w:hyperlink r:id="rId27" w:history="1">
        <w:r w:rsidR="00D705B9" w:rsidRPr="004E46B8">
          <w:rPr>
            <w:rStyle w:val="Hyperlink"/>
            <w:rFonts w:cs="Times New Roman"/>
            <w:szCs w:val="24"/>
          </w:rPr>
          <w:t>https://doi.org/10.1016/j.sapharm.2022.03.012</w:t>
        </w:r>
      </w:hyperlink>
      <w:r w:rsidR="00D705B9">
        <w:rPr>
          <w:rFonts w:cs="Times New Roman"/>
          <w:szCs w:val="24"/>
        </w:rPr>
        <w:t xml:space="preserve"> </w:t>
      </w:r>
    </w:p>
    <w:sectPr w:rsidR="0048176F" w:rsidRPr="00651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C1F9" w14:textId="77777777" w:rsidR="00D34874" w:rsidRDefault="00D34874" w:rsidP="00E04474">
      <w:pPr>
        <w:spacing w:line="240" w:lineRule="auto"/>
      </w:pPr>
      <w:r>
        <w:separator/>
      </w:r>
    </w:p>
  </w:endnote>
  <w:endnote w:type="continuationSeparator" w:id="0">
    <w:p w14:paraId="24C8226D" w14:textId="77777777" w:rsidR="00D34874" w:rsidRDefault="00D34874" w:rsidP="00E04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AF7C" w14:textId="77777777" w:rsidR="00C12D39" w:rsidRDefault="00C12D39">
    <w:pPr>
      <w:pStyle w:val="Footer"/>
    </w:pPr>
  </w:p>
  <w:p w14:paraId="02C1EA23" w14:textId="77777777" w:rsidR="00C12D39" w:rsidRDefault="00C1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8B3F" w14:textId="77777777" w:rsidR="00C12D39" w:rsidRDefault="00C12D39" w:rsidP="003C1FD2">
    <w:pPr>
      <w:pStyle w:val="Footer"/>
    </w:pPr>
  </w:p>
  <w:p w14:paraId="7D0EE4B2" w14:textId="77777777" w:rsidR="00C12D39" w:rsidRDefault="00C12D39">
    <w:pPr>
      <w:pStyle w:val="Footer"/>
    </w:pPr>
  </w:p>
  <w:p w14:paraId="3F6887AF" w14:textId="77777777" w:rsidR="00C12D39" w:rsidRDefault="00C12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335F" w14:textId="77777777" w:rsidR="00D34874" w:rsidRDefault="00D34874" w:rsidP="00E04474">
      <w:pPr>
        <w:spacing w:line="240" w:lineRule="auto"/>
      </w:pPr>
      <w:r>
        <w:separator/>
      </w:r>
    </w:p>
  </w:footnote>
  <w:footnote w:type="continuationSeparator" w:id="0">
    <w:p w14:paraId="0E8BE97A" w14:textId="77777777" w:rsidR="00D34874" w:rsidRDefault="00D34874" w:rsidP="00E04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41E5" w14:textId="1EFFAE47" w:rsidR="00F31F38" w:rsidRDefault="00324F64">
    <w:pPr>
      <w:pStyle w:val="Header"/>
      <w:jc w:val="right"/>
    </w:pPr>
    <w:r>
      <w:rPr>
        <w:szCs w:val="24"/>
      </w:rPr>
      <w:t xml:space="preserve">EVALUATION PROPOSAL </w:t>
    </w:r>
    <w:r w:rsidR="009E01A1">
      <w:rPr>
        <w:szCs w:val="24"/>
      </w:rPr>
      <w:t>FINAL</w:t>
    </w:r>
    <w:r w:rsidR="00F31F38">
      <w:rPr>
        <w:szCs w:val="24"/>
      </w:rPr>
      <w:tab/>
    </w:r>
    <w:r w:rsidR="00F31F38">
      <w:rPr>
        <w:szCs w:val="24"/>
      </w:rPr>
      <w:tab/>
    </w:r>
    <w:sdt>
      <w:sdtPr>
        <w:id w:val="1310051695"/>
        <w:docPartObj>
          <w:docPartGallery w:val="Page Numbers (Top of Page)"/>
          <w:docPartUnique/>
        </w:docPartObj>
      </w:sdtPr>
      <w:sdtEndPr>
        <w:rPr>
          <w:noProof/>
        </w:rPr>
      </w:sdtEndPr>
      <w:sdtContent>
        <w:r w:rsidR="00F31F38">
          <w:fldChar w:fldCharType="begin"/>
        </w:r>
        <w:r w:rsidR="00F31F38">
          <w:instrText xml:space="preserve"> PAGE   \* MERGEFORMAT </w:instrText>
        </w:r>
        <w:r w:rsidR="00F31F38">
          <w:fldChar w:fldCharType="separate"/>
        </w:r>
        <w:r w:rsidR="002E2193">
          <w:rPr>
            <w:noProof/>
          </w:rPr>
          <w:t>2</w:t>
        </w:r>
        <w:r w:rsidR="00F31F38">
          <w:rPr>
            <w:noProof/>
          </w:rPr>
          <w:fldChar w:fldCharType="end"/>
        </w:r>
      </w:sdtContent>
    </w:sdt>
  </w:p>
  <w:p w14:paraId="58B1A6E9" w14:textId="77777777" w:rsidR="00C12D39" w:rsidRDefault="00C12D3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7FC5" w14:textId="77777777" w:rsidR="00C12D39" w:rsidRDefault="00C12D39">
    <w:pPr>
      <w:pStyle w:val="Header"/>
      <w:jc w:val="right"/>
    </w:pPr>
    <w:r>
      <w:rPr>
        <w:szCs w:val="24"/>
      </w:rPr>
      <w:fldChar w:fldCharType="begin"/>
    </w:r>
    <w:r>
      <w:rPr>
        <w:szCs w:val="24"/>
      </w:rPr>
      <w:instrText xml:space="preserve"> MACROBUTTON Noname &lt;Insert SHORTENED TITLE&gt; </w:instrText>
    </w:r>
    <w:r>
      <w:rPr>
        <w:szCs w:val="24"/>
      </w:rPr>
      <w:fldChar w:fldCharType="end"/>
    </w:r>
    <w:r>
      <w:rPr>
        <w:szCs w:val="24"/>
      </w:rPr>
      <w:tab/>
    </w:r>
    <w:r>
      <w:rPr>
        <w:szCs w:val="24"/>
      </w:rPr>
      <w:tab/>
    </w:r>
    <w:sdt>
      <w:sdtPr>
        <w:id w:val="-194259497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20A63C3" w14:textId="77777777" w:rsidR="00C12D39" w:rsidRDefault="00C12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BE28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1FC17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8E81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6498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BE6E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9465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FEAC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C85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9E47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A0C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2CC"/>
    <w:multiLevelType w:val="hybridMultilevel"/>
    <w:tmpl w:val="E79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B2732"/>
    <w:multiLevelType w:val="hybridMultilevel"/>
    <w:tmpl w:val="C26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76D45"/>
    <w:multiLevelType w:val="hybridMultilevel"/>
    <w:tmpl w:val="234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0502A"/>
    <w:multiLevelType w:val="hybridMultilevel"/>
    <w:tmpl w:val="513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81CD7"/>
    <w:multiLevelType w:val="hybridMultilevel"/>
    <w:tmpl w:val="2828E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916A4C"/>
    <w:multiLevelType w:val="hybridMultilevel"/>
    <w:tmpl w:val="4B7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8674D"/>
    <w:multiLevelType w:val="hybridMultilevel"/>
    <w:tmpl w:val="6AF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A7473"/>
    <w:multiLevelType w:val="hybridMultilevel"/>
    <w:tmpl w:val="54F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7F5054"/>
    <w:multiLevelType w:val="hybridMultilevel"/>
    <w:tmpl w:val="F426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D3085"/>
    <w:multiLevelType w:val="multilevel"/>
    <w:tmpl w:val="3D3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24F1B"/>
    <w:multiLevelType w:val="hybridMultilevel"/>
    <w:tmpl w:val="268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F7AE8"/>
    <w:multiLevelType w:val="hybridMultilevel"/>
    <w:tmpl w:val="BDE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A606D"/>
    <w:multiLevelType w:val="hybridMultilevel"/>
    <w:tmpl w:val="3698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7666E"/>
    <w:multiLevelType w:val="hybridMultilevel"/>
    <w:tmpl w:val="B60E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325298">
    <w:abstractNumId w:val="22"/>
  </w:num>
  <w:num w:numId="2" w16cid:durableId="2024629497">
    <w:abstractNumId w:val="9"/>
  </w:num>
  <w:num w:numId="3" w16cid:durableId="1592618268">
    <w:abstractNumId w:val="7"/>
  </w:num>
  <w:num w:numId="4" w16cid:durableId="60295124">
    <w:abstractNumId w:val="6"/>
  </w:num>
  <w:num w:numId="5" w16cid:durableId="861432131">
    <w:abstractNumId w:val="5"/>
  </w:num>
  <w:num w:numId="6" w16cid:durableId="62066413">
    <w:abstractNumId w:val="4"/>
  </w:num>
  <w:num w:numId="7" w16cid:durableId="1629048364">
    <w:abstractNumId w:val="8"/>
  </w:num>
  <w:num w:numId="8" w16cid:durableId="1619725747">
    <w:abstractNumId w:val="3"/>
  </w:num>
  <w:num w:numId="9" w16cid:durableId="277029344">
    <w:abstractNumId w:val="2"/>
  </w:num>
  <w:num w:numId="10" w16cid:durableId="1759986649">
    <w:abstractNumId w:val="1"/>
  </w:num>
  <w:num w:numId="11" w16cid:durableId="1375740519">
    <w:abstractNumId w:val="0"/>
  </w:num>
  <w:num w:numId="12" w16cid:durableId="216354691">
    <w:abstractNumId w:val="19"/>
  </w:num>
  <w:num w:numId="13" w16cid:durableId="647633619">
    <w:abstractNumId w:val="14"/>
  </w:num>
  <w:num w:numId="14" w16cid:durableId="698549641">
    <w:abstractNumId w:val="20"/>
  </w:num>
  <w:num w:numId="15" w16cid:durableId="2019769857">
    <w:abstractNumId w:val="11"/>
  </w:num>
  <w:num w:numId="16" w16cid:durableId="977608638">
    <w:abstractNumId w:val="12"/>
  </w:num>
  <w:num w:numId="17" w16cid:durableId="1430077234">
    <w:abstractNumId w:val="23"/>
  </w:num>
  <w:num w:numId="18" w16cid:durableId="1745830721">
    <w:abstractNumId w:val="13"/>
  </w:num>
  <w:num w:numId="19" w16cid:durableId="1929728946">
    <w:abstractNumId w:val="21"/>
  </w:num>
  <w:num w:numId="20" w16cid:durableId="1366365368">
    <w:abstractNumId w:val="15"/>
  </w:num>
  <w:num w:numId="21" w16cid:durableId="2096438867">
    <w:abstractNumId w:val="10"/>
  </w:num>
  <w:num w:numId="22" w16cid:durableId="1994526174">
    <w:abstractNumId w:val="17"/>
  </w:num>
  <w:num w:numId="23" w16cid:durableId="567031124">
    <w:abstractNumId w:val="16"/>
  </w:num>
  <w:num w:numId="24" w16cid:durableId="15019633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64"/>
    <w:rsid w:val="00001536"/>
    <w:rsid w:val="000142AD"/>
    <w:rsid w:val="00021811"/>
    <w:rsid w:val="00023AE3"/>
    <w:rsid w:val="00023B26"/>
    <w:rsid w:val="00023E3A"/>
    <w:rsid w:val="00023E42"/>
    <w:rsid w:val="00026A59"/>
    <w:rsid w:val="00033212"/>
    <w:rsid w:val="000343F3"/>
    <w:rsid w:val="00044E21"/>
    <w:rsid w:val="00047FAB"/>
    <w:rsid w:val="00053990"/>
    <w:rsid w:val="0005400F"/>
    <w:rsid w:val="00055B6A"/>
    <w:rsid w:val="00073B2D"/>
    <w:rsid w:val="00073B90"/>
    <w:rsid w:val="00073F8D"/>
    <w:rsid w:val="0007438E"/>
    <w:rsid w:val="000745FA"/>
    <w:rsid w:val="00080974"/>
    <w:rsid w:val="00082455"/>
    <w:rsid w:val="00082B55"/>
    <w:rsid w:val="00086151"/>
    <w:rsid w:val="00090421"/>
    <w:rsid w:val="0009047E"/>
    <w:rsid w:val="000A0A20"/>
    <w:rsid w:val="000A0C6C"/>
    <w:rsid w:val="000A6112"/>
    <w:rsid w:val="000B04FC"/>
    <w:rsid w:val="000B69D3"/>
    <w:rsid w:val="000C1704"/>
    <w:rsid w:val="000D1F02"/>
    <w:rsid w:val="000D2D3E"/>
    <w:rsid w:val="000D79BE"/>
    <w:rsid w:val="000E15F1"/>
    <w:rsid w:val="000E18E3"/>
    <w:rsid w:val="000E2C9D"/>
    <w:rsid w:val="000F366A"/>
    <w:rsid w:val="000F5FE2"/>
    <w:rsid w:val="000F7AF2"/>
    <w:rsid w:val="00100978"/>
    <w:rsid w:val="0010378B"/>
    <w:rsid w:val="001104C0"/>
    <w:rsid w:val="00111AA3"/>
    <w:rsid w:val="00114065"/>
    <w:rsid w:val="0011459B"/>
    <w:rsid w:val="00120D9B"/>
    <w:rsid w:val="001240F6"/>
    <w:rsid w:val="00125D38"/>
    <w:rsid w:val="001273FE"/>
    <w:rsid w:val="0013279D"/>
    <w:rsid w:val="001359C5"/>
    <w:rsid w:val="001377E0"/>
    <w:rsid w:val="001412C7"/>
    <w:rsid w:val="00144BD6"/>
    <w:rsid w:val="001468BB"/>
    <w:rsid w:val="00150E67"/>
    <w:rsid w:val="00152B8B"/>
    <w:rsid w:val="001532A0"/>
    <w:rsid w:val="0015641F"/>
    <w:rsid w:val="00160B0A"/>
    <w:rsid w:val="0016274C"/>
    <w:rsid w:val="00165B69"/>
    <w:rsid w:val="00166CD5"/>
    <w:rsid w:val="00174AED"/>
    <w:rsid w:val="001879B7"/>
    <w:rsid w:val="001902CC"/>
    <w:rsid w:val="00191BDC"/>
    <w:rsid w:val="00194BEE"/>
    <w:rsid w:val="001A39C2"/>
    <w:rsid w:val="001B17D4"/>
    <w:rsid w:val="001B1C3F"/>
    <w:rsid w:val="001B2E46"/>
    <w:rsid w:val="001B4D85"/>
    <w:rsid w:val="001B6431"/>
    <w:rsid w:val="001B688F"/>
    <w:rsid w:val="001C0977"/>
    <w:rsid w:val="001C4777"/>
    <w:rsid w:val="001C4E10"/>
    <w:rsid w:val="001D100E"/>
    <w:rsid w:val="001E4FEA"/>
    <w:rsid w:val="001E7402"/>
    <w:rsid w:val="001F5D7E"/>
    <w:rsid w:val="001F5E61"/>
    <w:rsid w:val="001F5F3C"/>
    <w:rsid w:val="001F6D56"/>
    <w:rsid w:val="002009B6"/>
    <w:rsid w:val="00201D96"/>
    <w:rsid w:val="00210953"/>
    <w:rsid w:val="0021280A"/>
    <w:rsid w:val="0022381A"/>
    <w:rsid w:val="0022589D"/>
    <w:rsid w:val="00225C13"/>
    <w:rsid w:val="00227EF9"/>
    <w:rsid w:val="002305D3"/>
    <w:rsid w:val="002323B3"/>
    <w:rsid w:val="002517BA"/>
    <w:rsid w:val="00254777"/>
    <w:rsid w:val="0025509E"/>
    <w:rsid w:val="00261018"/>
    <w:rsid w:val="002657DD"/>
    <w:rsid w:val="00266455"/>
    <w:rsid w:val="002723EE"/>
    <w:rsid w:val="00276CD1"/>
    <w:rsid w:val="0027758C"/>
    <w:rsid w:val="00280059"/>
    <w:rsid w:val="00280EA0"/>
    <w:rsid w:val="00281170"/>
    <w:rsid w:val="00281450"/>
    <w:rsid w:val="00285D10"/>
    <w:rsid w:val="00285EBC"/>
    <w:rsid w:val="0029067A"/>
    <w:rsid w:val="00294B0E"/>
    <w:rsid w:val="0029690B"/>
    <w:rsid w:val="002A09B5"/>
    <w:rsid w:val="002A22A6"/>
    <w:rsid w:val="002A4423"/>
    <w:rsid w:val="002A6696"/>
    <w:rsid w:val="002A6EA4"/>
    <w:rsid w:val="002B0B85"/>
    <w:rsid w:val="002B6302"/>
    <w:rsid w:val="002B6478"/>
    <w:rsid w:val="002B6FAB"/>
    <w:rsid w:val="002C0FAD"/>
    <w:rsid w:val="002C6F23"/>
    <w:rsid w:val="002D7107"/>
    <w:rsid w:val="002E0CFF"/>
    <w:rsid w:val="002E12F9"/>
    <w:rsid w:val="002E2193"/>
    <w:rsid w:val="002E2259"/>
    <w:rsid w:val="002E234D"/>
    <w:rsid w:val="002E2AF6"/>
    <w:rsid w:val="002E51C7"/>
    <w:rsid w:val="00303DE3"/>
    <w:rsid w:val="003052CE"/>
    <w:rsid w:val="00312EA5"/>
    <w:rsid w:val="00313E23"/>
    <w:rsid w:val="00316E4D"/>
    <w:rsid w:val="003171EB"/>
    <w:rsid w:val="00324F64"/>
    <w:rsid w:val="00326599"/>
    <w:rsid w:val="0032714C"/>
    <w:rsid w:val="00332E23"/>
    <w:rsid w:val="0033525D"/>
    <w:rsid w:val="00343B3C"/>
    <w:rsid w:val="00347D92"/>
    <w:rsid w:val="00351262"/>
    <w:rsid w:val="00353D7A"/>
    <w:rsid w:val="00356B0A"/>
    <w:rsid w:val="00357ACC"/>
    <w:rsid w:val="00362F4A"/>
    <w:rsid w:val="0036565D"/>
    <w:rsid w:val="003663C8"/>
    <w:rsid w:val="00367D2A"/>
    <w:rsid w:val="00370B6F"/>
    <w:rsid w:val="00382C6C"/>
    <w:rsid w:val="00384130"/>
    <w:rsid w:val="003856B4"/>
    <w:rsid w:val="003A4676"/>
    <w:rsid w:val="003A6266"/>
    <w:rsid w:val="003B4A41"/>
    <w:rsid w:val="003B6D3D"/>
    <w:rsid w:val="003C16D0"/>
    <w:rsid w:val="003C1FD2"/>
    <w:rsid w:val="003C4918"/>
    <w:rsid w:val="003D19CC"/>
    <w:rsid w:val="003D40AF"/>
    <w:rsid w:val="003E7A7E"/>
    <w:rsid w:val="003F1031"/>
    <w:rsid w:val="003F2343"/>
    <w:rsid w:val="003F2BB2"/>
    <w:rsid w:val="003F66FE"/>
    <w:rsid w:val="00403697"/>
    <w:rsid w:val="004124DE"/>
    <w:rsid w:val="00413F94"/>
    <w:rsid w:val="00421F8C"/>
    <w:rsid w:val="00423C35"/>
    <w:rsid w:val="00424AC7"/>
    <w:rsid w:val="00433DB3"/>
    <w:rsid w:val="00434CAB"/>
    <w:rsid w:val="004374DA"/>
    <w:rsid w:val="0044122B"/>
    <w:rsid w:val="0044467C"/>
    <w:rsid w:val="00446E2B"/>
    <w:rsid w:val="004523D0"/>
    <w:rsid w:val="00454BE8"/>
    <w:rsid w:val="0046055F"/>
    <w:rsid w:val="00472AE7"/>
    <w:rsid w:val="00473698"/>
    <w:rsid w:val="00480D4D"/>
    <w:rsid w:val="0048176F"/>
    <w:rsid w:val="00486B5B"/>
    <w:rsid w:val="00490FB5"/>
    <w:rsid w:val="00491330"/>
    <w:rsid w:val="00496648"/>
    <w:rsid w:val="00496CC4"/>
    <w:rsid w:val="00497EDC"/>
    <w:rsid w:val="004A0ADE"/>
    <w:rsid w:val="004A2D53"/>
    <w:rsid w:val="004B3548"/>
    <w:rsid w:val="004C4AE8"/>
    <w:rsid w:val="004C781D"/>
    <w:rsid w:val="004D0AFC"/>
    <w:rsid w:val="004E1AD4"/>
    <w:rsid w:val="004E46B8"/>
    <w:rsid w:val="004E509B"/>
    <w:rsid w:val="004E5B9F"/>
    <w:rsid w:val="004E5CEF"/>
    <w:rsid w:val="004F37FB"/>
    <w:rsid w:val="004F42E1"/>
    <w:rsid w:val="004F51EC"/>
    <w:rsid w:val="005054EB"/>
    <w:rsid w:val="005239BC"/>
    <w:rsid w:val="00525FA8"/>
    <w:rsid w:val="00531673"/>
    <w:rsid w:val="0053432F"/>
    <w:rsid w:val="00542556"/>
    <w:rsid w:val="00550863"/>
    <w:rsid w:val="0055303C"/>
    <w:rsid w:val="005533E9"/>
    <w:rsid w:val="00556D24"/>
    <w:rsid w:val="00566B7E"/>
    <w:rsid w:val="00573264"/>
    <w:rsid w:val="00573F0C"/>
    <w:rsid w:val="00581495"/>
    <w:rsid w:val="00592018"/>
    <w:rsid w:val="005A0400"/>
    <w:rsid w:val="005A3306"/>
    <w:rsid w:val="005A5B4C"/>
    <w:rsid w:val="005B2D90"/>
    <w:rsid w:val="005B4C58"/>
    <w:rsid w:val="005B58AC"/>
    <w:rsid w:val="005B6CD2"/>
    <w:rsid w:val="005B6E55"/>
    <w:rsid w:val="005C00DF"/>
    <w:rsid w:val="005C20A7"/>
    <w:rsid w:val="005C7E52"/>
    <w:rsid w:val="005D3821"/>
    <w:rsid w:val="005E077B"/>
    <w:rsid w:val="005E36AE"/>
    <w:rsid w:val="005E7373"/>
    <w:rsid w:val="005F3CDD"/>
    <w:rsid w:val="006041D0"/>
    <w:rsid w:val="00620F12"/>
    <w:rsid w:val="00626EFE"/>
    <w:rsid w:val="006278C9"/>
    <w:rsid w:val="00644D7B"/>
    <w:rsid w:val="00646920"/>
    <w:rsid w:val="00651B5D"/>
    <w:rsid w:val="00654529"/>
    <w:rsid w:val="00661EE2"/>
    <w:rsid w:val="00663714"/>
    <w:rsid w:val="00667219"/>
    <w:rsid w:val="00676D30"/>
    <w:rsid w:val="006840DF"/>
    <w:rsid w:val="00690452"/>
    <w:rsid w:val="00692866"/>
    <w:rsid w:val="00692B4E"/>
    <w:rsid w:val="006947C5"/>
    <w:rsid w:val="00697AE2"/>
    <w:rsid w:val="00697C08"/>
    <w:rsid w:val="006B4020"/>
    <w:rsid w:val="006C1D18"/>
    <w:rsid w:val="006C3849"/>
    <w:rsid w:val="006D6538"/>
    <w:rsid w:val="006D7E5A"/>
    <w:rsid w:val="006E3A53"/>
    <w:rsid w:val="006F6A38"/>
    <w:rsid w:val="00701F3E"/>
    <w:rsid w:val="00702E1A"/>
    <w:rsid w:val="0070426D"/>
    <w:rsid w:val="007133E2"/>
    <w:rsid w:val="007164C8"/>
    <w:rsid w:val="0072219C"/>
    <w:rsid w:val="007225A9"/>
    <w:rsid w:val="00732422"/>
    <w:rsid w:val="00732612"/>
    <w:rsid w:val="00732CB3"/>
    <w:rsid w:val="007450AE"/>
    <w:rsid w:val="00745359"/>
    <w:rsid w:val="0075163C"/>
    <w:rsid w:val="00751B35"/>
    <w:rsid w:val="00753123"/>
    <w:rsid w:val="00753524"/>
    <w:rsid w:val="00760A63"/>
    <w:rsid w:val="0077481F"/>
    <w:rsid w:val="00776CE0"/>
    <w:rsid w:val="00784E5C"/>
    <w:rsid w:val="007862E2"/>
    <w:rsid w:val="00786555"/>
    <w:rsid w:val="00787FD3"/>
    <w:rsid w:val="007932BA"/>
    <w:rsid w:val="007974E1"/>
    <w:rsid w:val="007A6224"/>
    <w:rsid w:val="007B2082"/>
    <w:rsid w:val="007B6127"/>
    <w:rsid w:val="007B676F"/>
    <w:rsid w:val="007B78F0"/>
    <w:rsid w:val="007C093F"/>
    <w:rsid w:val="007C2160"/>
    <w:rsid w:val="007C3A9C"/>
    <w:rsid w:val="007C3F66"/>
    <w:rsid w:val="007C51BE"/>
    <w:rsid w:val="007C6E57"/>
    <w:rsid w:val="007D06D5"/>
    <w:rsid w:val="007D1395"/>
    <w:rsid w:val="007E1A60"/>
    <w:rsid w:val="007E2BB4"/>
    <w:rsid w:val="007E2C71"/>
    <w:rsid w:val="007E341D"/>
    <w:rsid w:val="007E7F0E"/>
    <w:rsid w:val="007F11B9"/>
    <w:rsid w:val="007F1483"/>
    <w:rsid w:val="007F2D4C"/>
    <w:rsid w:val="007F3E07"/>
    <w:rsid w:val="00800FDB"/>
    <w:rsid w:val="00802379"/>
    <w:rsid w:val="00803048"/>
    <w:rsid w:val="00804372"/>
    <w:rsid w:val="00806C0D"/>
    <w:rsid w:val="00811801"/>
    <w:rsid w:val="00813E86"/>
    <w:rsid w:val="0081770D"/>
    <w:rsid w:val="00827EA8"/>
    <w:rsid w:val="00831B0C"/>
    <w:rsid w:val="00834818"/>
    <w:rsid w:val="00837C84"/>
    <w:rsid w:val="00852FCF"/>
    <w:rsid w:val="0085561F"/>
    <w:rsid w:val="008566FC"/>
    <w:rsid w:val="00856E59"/>
    <w:rsid w:val="00860F98"/>
    <w:rsid w:val="008667E5"/>
    <w:rsid w:val="00867AC8"/>
    <w:rsid w:val="008714AA"/>
    <w:rsid w:val="00872DA1"/>
    <w:rsid w:val="008771C1"/>
    <w:rsid w:val="00877A80"/>
    <w:rsid w:val="00877EF8"/>
    <w:rsid w:val="008833AE"/>
    <w:rsid w:val="00894639"/>
    <w:rsid w:val="00895C88"/>
    <w:rsid w:val="008A2ED5"/>
    <w:rsid w:val="008A34BE"/>
    <w:rsid w:val="008A4400"/>
    <w:rsid w:val="008A5781"/>
    <w:rsid w:val="008B72E9"/>
    <w:rsid w:val="008B7EFA"/>
    <w:rsid w:val="008C4E33"/>
    <w:rsid w:val="008C52DC"/>
    <w:rsid w:val="008C58C4"/>
    <w:rsid w:val="008D0D0A"/>
    <w:rsid w:val="008D3B74"/>
    <w:rsid w:val="008D3D84"/>
    <w:rsid w:val="008D5F0F"/>
    <w:rsid w:val="008E0CFF"/>
    <w:rsid w:val="008E3AC1"/>
    <w:rsid w:val="008E4A24"/>
    <w:rsid w:val="008E7BC8"/>
    <w:rsid w:val="008F2710"/>
    <w:rsid w:val="008F4A14"/>
    <w:rsid w:val="008F4DC2"/>
    <w:rsid w:val="008F545F"/>
    <w:rsid w:val="00902139"/>
    <w:rsid w:val="0090723A"/>
    <w:rsid w:val="0090797D"/>
    <w:rsid w:val="0091698C"/>
    <w:rsid w:val="009333ED"/>
    <w:rsid w:val="009362E8"/>
    <w:rsid w:val="00940D48"/>
    <w:rsid w:val="009460C2"/>
    <w:rsid w:val="00946C7E"/>
    <w:rsid w:val="00950A58"/>
    <w:rsid w:val="00951E1E"/>
    <w:rsid w:val="00953B6A"/>
    <w:rsid w:val="009613BD"/>
    <w:rsid w:val="009641F5"/>
    <w:rsid w:val="0096593F"/>
    <w:rsid w:val="00966F7B"/>
    <w:rsid w:val="0097266F"/>
    <w:rsid w:val="00977166"/>
    <w:rsid w:val="0097744D"/>
    <w:rsid w:val="009863C5"/>
    <w:rsid w:val="009863C9"/>
    <w:rsid w:val="009901CA"/>
    <w:rsid w:val="0099043B"/>
    <w:rsid w:val="009912AB"/>
    <w:rsid w:val="00994E04"/>
    <w:rsid w:val="00995851"/>
    <w:rsid w:val="009A197E"/>
    <w:rsid w:val="009A70E8"/>
    <w:rsid w:val="009B11FA"/>
    <w:rsid w:val="009B5EED"/>
    <w:rsid w:val="009C12F3"/>
    <w:rsid w:val="009C2CD5"/>
    <w:rsid w:val="009D5498"/>
    <w:rsid w:val="009E01A1"/>
    <w:rsid w:val="009E51CA"/>
    <w:rsid w:val="009E5D16"/>
    <w:rsid w:val="009E6B80"/>
    <w:rsid w:val="00A0179A"/>
    <w:rsid w:val="00A0238F"/>
    <w:rsid w:val="00A0247C"/>
    <w:rsid w:val="00A10A74"/>
    <w:rsid w:val="00A12143"/>
    <w:rsid w:val="00A12EFB"/>
    <w:rsid w:val="00A20B71"/>
    <w:rsid w:val="00A328F9"/>
    <w:rsid w:val="00A369D1"/>
    <w:rsid w:val="00A422B8"/>
    <w:rsid w:val="00A43572"/>
    <w:rsid w:val="00A4665F"/>
    <w:rsid w:val="00A54C87"/>
    <w:rsid w:val="00A56FE3"/>
    <w:rsid w:val="00A61D3F"/>
    <w:rsid w:val="00A621BE"/>
    <w:rsid w:val="00A63FB3"/>
    <w:rsid w:val="00A667E7"/>
    <w:rsid w:val="00A73D47"/>
    <w:rsid w:val="00A741B1"/>
    <w:rsid w:val="00A768A8"/>
    <w:rsid w:val="00A84650"/>
    <w:rsid w:val="00AA01E2"/>
    <w:rsid w:val="00AA1C79"/>
    <w:rsid w:val="00AA2925"/>
    <w:rsid w:val="00AA49E8"/>
    <w:rsid w:val="00AB0758"/>
    <w:rsid w:val="00AC4A09"/>
    <w:rsid w:val="00AD5122"/>
    <w:rsid w:val="00AE05E0"/>
    <w:rsid w:val="00AE14DF"/>
    <w:rsid w:val="00AE69BB"/>
    <w:rsid w:val="00AF18E6"/>
    <w:rsid w:val="00AF2EAA"/>
    <w:rsid w:val="00AF3D6B"/>
    <w:rsid w:val="00AF4B4C"/>
    <w:rsid w:val="00AF6EA6"/>
    <w:rsid w:val="00B0169A"/>
    <w:rsid w:val="00B04281"/>
    <w:rsid w:val="00B04C3C"/>
    <w:rsid w:val="00B102AA"/>
    <w:rsid w:val="00B12F02"/>
    <w:rsid w:val="00B25559"/>
    <w:rsid w:val="00B25AE8"/>
    <w:rsid w:val="00B273B5"/>
    <w:rsid w:val="00B31AB8"/>
    <w:rsid w:val="00B37DF0"/>
    <w:rsid w:val="00B44010"/>
    <w:rsid w:val="00B4492A"/>
    <w:rsid w:val="00B4552A"/>
    <w:rsid w:val="00B4557E"/>
    <w:rsid w:val="00B54AB3"/>
    <w:rsid w:val="00B57A74"/>
    <w:rsid w:val="00B63917"/>
    <w:rsid w:val="00B65337"/>
    <w:rsid w:val="00B6677A"/>
    <w:rsid w:val="00B714AD"/>
    <w:rsid w:val="00B754CE"/>
    <w:rsid w:val="00B827E7"/>
    <w:rsid w:val="00B83501"/>
    <w:rsid w:val="00B874EA"/>
    <w:rsid w:val="00B91280"/>
    <w:rsid w:val="00B920A8"/>
    <w:rsid w:val="00B97323"/>
    <w:rsid w:val="00BA02D9"/>
    <w:rsid w:val="00BA627F"/>
    <w:rsid w:val="00BB0CDF"/>
    <w:rsid w:val="00BB2E5A"/>
    <w:rsid w:val="00BC0C74"/>
    <w:rsid w:val="00BC1C1C"/>
    <w:rsid w:val="00BD2911"/>
    <w:rsid w:val="00BD32F1"/>
    <w:rsid w:val="00BD367A"/>
    <w:rsid w:val="00BE004F"/>
    <w:rsid w:val="00BE276E"/>
    <w:rsid w:val="00BE7DC3"/>
    <w:rsid w:val="00BF5ED7"/>
    <w:rsid w:val="00BF6E53"/>
    <w:rsid w:val="00C01887"/>
    <w:rsid w:val="00C05DD7"/>
    <w:rsid w:val="00C06271"/>
    <w:rsid w:val="00C070C6"/>
    <w:rsid w:val="00C078BF"/>
    <w:rsid w:val="00C1022A"/>
    <w:rsid w:val="00C1285A"/>
    <w:rsid w:val="00C12D39"/>
    <w:rsid w:val="00C136FF"/>
    <w:rsid w:val="00C14EE6"/>
    <w:rsid w:val="00C22657"/>
    <w:rsid w:val="00C22CF1"/>
    <w:rsid w:val="00C306C3"/>
    <w:rsid w:val="00C33EC9"/>
    <w:rsid w:val="00C34FD6"/>
    <w:rsid w:val="00C413A5"/>
    <w:rsid w:val="00C449F8"/>
    <w:rsid w:val="00C46744"/>
    <w:rsid w:val="00C46FFC"/>
    <w:rsid w:val="00C53FC4"/>
    <w:rsid w:val="00C56284"/>
    <w:rsid w:val="00C71E8F"/>
    <w:rsid w:val="00C73B23"/>
    <w:rsid w:val="00C80ECD"/>
    <w:rsid w:val="00C81410"/>
    <w:rsid w:val="00C83B06"/>
    <w:rsid w:val="00C8760B"/>
    <w:rsid w:val="00C920BA"/>
    <w:rsid w:val="00C934F4"/>
    <w:rsid w:val="00C9382A"/>
    <w:rsid w:val="00C94D35"/>
    <w:rsid w:val="00C9640B"/>
    <w:rsid w:val="00CA4E07"/>
    <w:rsid w:val="00CA5280"/>
    <w:rsid w:val="00CA6043"/>
    <w:rsid w:val="00CB08C1"/>
    <w:rsid w:val="00CB1297"/>
    <w:rsid w:val="00CB2880"/>
    <w:rsid w:val="00CC3DE2"/>
    <w:rsid w:val="00CC5947"/>
    <w:rsid w:val="00CC66BA"/>
    <w:rsid w:val="00CD6054"/>
    <w:rsid w:val="00CE0EBC"/>
    <w:rsid w:val="00CE2A8C"/>
    <w:rsid w:val="00CE48E9"/>
    <w:rsid w:val="00CF3A12"/>
    <w:rsid w:val="00CF3D47"/>
    <w:rsid w:val="00CF65CA"/>
    <w:rsid w:val="00CF7E06"/>
    <w:rsid w:val="00D06188"/>
    <w:rsid w:val="00D07F46"/>
    <w:rsid w:val="00D1142D"/>
    <w:rsid w:val="00D227F9"/>
    <w:rsid w:val="00D23EE4"/>
    <w:rsid w:val="00D260FC"/>
    <w:rsid w:val="00D27C4A"/>
    <w:rsid w:val="00D30A3B"/>
    <w:rsid w:val="00D34874"/>
    <w:rsid w:val="00D36456"/>
    <w:rsid w:val="00D43886"/>
    <w:rsid w:val="00D5168B"/>
    <w:rsid w:val="00D5288F"/>
    <w:rsid w:val="00D54652"/>
    <w:rsid w:val="00D60529"/>
    <w:rsid w:val="00D60C43"/>
    <w:rsid w:val="00D627BA"/>
    <w:rsid w:val="00D705B9"/>
    <w:rsid w:val="00D72982"/>
    <w:rsid w:val="00D82544"/>
    <w:rsid w:val="00D82F77"/>
    <w:rsid w:val="00D8410E"/>
    <w:rsid w:val="00D85534"/>
    <w:rsid w:val="00D857F7"/>
    <w:rsid w:val="00D86C45"/>
    <w:rsid w:val="00D9424E"/>
    <w:rsid w:val="00D96E5A"/>
    <w:rsid w:val="00D971F4"/>
    <w:rsid w:val="00DA062C"/>
    <w:rsid w:val="00DA1551"/>
    <w:rsid w:val="00DA6E84"/>
    <w:rsid w:val="00DB1C7E"/>
    <w:rsid w:val="00DB63BE"/>
    <w:rsid w:val="00DC0A20"/>
    <w:rsid w:val="00DC1924"/>
    <w:rsid w:val="00DC7EA9"/>
    <w:rsid w:val="00DD03B2"/>
    <w:rsid w:val="00DD06E2"/>
    <w:rsid w:val="00DD4A00"/>
    <w:rsid w:val="00DD53FB"/>
    <w:rsid w:val="00DD68DB"/>
    <w:rsid w:val="00DD7478"/>
    <w:rsid w:val="00DF7281"/>
    <w:rsid w:val="00E04474"/>
    <w:rsid w:val="00E04756"/>
    <w:rsid w:val="00E06B16"/>
    <w:rsid w:val="00E11F1F"/>
    <w:rsid w:val="00E14DE5"/>
    <w:rsid w:val="00E17A1A"/>
    <w:rsid w:val="00E204A2"/>
    <w:rsid w:val="00E2242E"/>
    <w:rsid w:val="00E27B0C"/>
    <w:rsid w:val="00E27FEB"/>
    <w:rsid w:val="00E30585"/>
    <w:rsid w:val="00E364B0"/>
    <w:rsid w:val="00E36D82"/>
    <w:rsid w:val="00E40C42"/>
    <w:rsid w:val="00E42CEF"/>
    <w:rsid w:val="00E47DEC"/>
    <w:rsid w:val="00E50122"/>
    <w:rsid w:val="00E50216"/>
    <w:rsid w:val="00E53A33"/>
    <w:rsid w:val="00E54861"/>
    <w:rsid w:val="00E57132"/>
    <w:rsid w:val="00E61303"/>
    <w:rsid w:val="00E62654"/>
    <w:rsid w:val="00E62AE0"/>
    <w:rsid w:val="00E64BFC"/>
    <w:rsid w:val="00E64F1D"/>
    <w:rsid w:val="00E7152D"/>
    <w:rsid w:val="00E73D65"/>
    <w:rsid w:val="00E74130"/>
    <w:rsid w:val="00E74290"/>
    <w:rsid w:val="00E81D78"/>
    <w:rsid w:val="00E827D4"/>
    <w:rsid w:val="00E834B9"/>
    <w:rsid w:val="00E8607E"/>
    <w:rsid w:val="00E91565"/>
    <w:rsid w:val="00E92B6F"/>
    <w:rsid w:val="00EA0A06"/>
    <w:rsid w:val="00EA39C2"/>
    <w:rsid w:val="00EA7F54"/>
    <w:rsid w:val="00EB1670"/>
    <w:rsid w:val="00EB42E3"/>
    <w:rsid w:val="00EB46FC"/>
    <w:rsid w:val="00EB7682"/>
    <w:rsid w:val="00EC358D"/>
    <w:rsid w:val="00EC3D38"/>
    <w:rsid w:val="00EC42E6"/>
    <w:rsid w:val="00EC4CFF"/>
    <w:rsid w:val="00EC4F7A"/>
    <w:rsid w:val="00ED2823"/>
    <w:rsid w:val="00ED3695"/>
    <w:rsid w:val="00EE1065"/>
    <w:rsid w:val="00EE4949"/>
    <w:rsid w:val="00EE65B4"/>
    <w:rsid w:val="00EE6755"/>
    <w:rsid w:val="00EF1607"/>
    <w:rsid w:val="00EF2348"/>
    <w:rsid w:val="00EF294D"/>
    <w:rsid w:val="00EF5DE2"/>
    <w:rsid w:val="00EF61EA"/>
    <w:rsid w:val="00EF7DD7"/>
    <w:rsid w:val="00F03B7D"/>
    <w:rsid w:val="00F069E1"/>
    <w:rsid w:val="00F100C8"/>
    <w:rsid w:val="00F15774"/>
    <w:rsid w:val="00F24BD1"/>
    <w:rsid w:val="00F25A90"/>
    <w:rsid w:val="00F27A08"/>
    <w:rsid w:val="00F316B0"/>
    <w:rsid w:val="00F31F38"/>
    <w:rsid w:val="00F37140"/>
    <w:rsid w:val="00F4369A"/>
    <w:rsid w:val="00F43ED3"/>
    <w:rsid w:val="00F51956"/>
    <w:rsid w:val="00F527C7"/>
    <w:rsid w:val="00F54839"/>
    <w:rsid w:val="00F54D5B"/>
    <w:rsid w:val="00F56E9C"/>
    <w:rsid w:val="00F60EF9"/>
    <w:rsid w:val="00F6473F"/>
    <w:rsid w:val="00F64949"/>
    <w:rsid w:val="00F67BDC"/>
    <w:rsid w:val="00F740B8"/>
    <w:rsid w:val="00F7432F"/>
    <w:rsid w:val="00F77BEE"/>
    <w:rsid w:val="00F848D3"/>
    <w:rsid w:val="00F85A11"/>
    <w:rsid w:val="00F86363"/>
    <w:rsid w:val="00F86920"/>
    <w:rsid w:val="00F9220E"/>
    <w:rsid w:val="00F933D8"/>
    <w:rsid w:val="00F93926"/>
    <w:rsid w:val="00FA01DA"/>
    <w:rsid w:val="00FA0A6B"/>
    <w:rsid w:val="00FA6064"/>
    <w:rsid w:val="00FB0F27"/>
    <w:rsid w:val="00FB2F5B"/>
    <w:rsid w:val="00FB54D5"/>
    <w:rsid w:val="00FB5889"/>
    <w:rsid w:val="00FB6F83"/>
    <w:rsid w:val="00FD282C"/>
    <w:rsid w:val="00FD44C1"/>
    <w:rsid w:val="00FD5716"/>
    <w:rsid w:val="00FD7A0D"/>
    <w:rsid w:val="00FE2AEC"/>
    <w:rsid w:val="00FE3D31"/>
    <w:rsid w:val="00FF4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040500"/>
  <w15:chartTrackingRefBased/>
  <w15:docId w15:val="{EB08B402-7413-43F2-B02C-2A419AB8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3B"/>
    <w:rPr>
      <w:rFonts w:ascii="Times New Roman" w:hAnsi="Times New Roman"/>
      <w:sz w:val="24"/>
    </w:rPr>
  </w:style>
  <w:style w:type="paragraph" w:styleId="Heading1">
    <w:name w:val="heading 1"/>
    <w:basedOn w:val="Normal"/>
    <w:next w:val="Normal"/>
    <w:link w:val="Heading1Char"/>
    <w:autoRedefine/>
    <w:uiPriority w:val="9"/>
    <w:qFormat/>
    <w:rsid w:val="008A4400"/>
    <w:pPr>
      <w:keepNext/>
      <w:keepLines/>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F1483"/>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833AE"/>
    <w:pPr>
      <w:keepNext/>
      <w:keepLines/>
      <w:tabs>
        <w:tab w:val="left" w:pos="720"/>
      </w:tabs>
      <w:spacing w:before="40"/>
      <w:outlineLvl w:val="2"/>
    </w:pPr>
    <w:rPr>
      <w:rFonts w:eastAsiaTheme="majorEastAsia" w:cs="Times New Roman"/>
      <w:b/>
      <w:i/>
      <w:iCs/>
      <w:szCs w:val="24"/>
    </w:rPr>
  </w:style>
  <w:style w:type="paragraph" w:styleId="Heading4">
    <w:name w:val="heading 4"/>
    <w:basedOn w:val="Normal"/>
    <w:next w:val="Normal"/>
    <w:link w:val="Heading4Char"/>
    <w:uiPriority w:val="9"/>
    <w:unhideWhenUsed/>
    <w:qFormat/>
    <w:rsid w:val="002C6F23"/>
    <w:pPr>
      <w:keepNext/>
      <w:keepLines/>
      <w:ind w:firstLine="7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C6F23"/>
    <w:pPr>
      <w:keepNext/>
      <w:keepLines/>
      <w:ind w:firstLine="720"/>
      <w:outlineLvl w:val="4"/>
    </w:pPr>
    <w:rPr>
      <w:rFonts w:eastAsiaTheme="majorEastAsia" w:cstheme="majorBidi"/>
      <w:b/>
      <w:i/>
      <w:color w:val="000000" w:themeColor="text1"/>
    </w:rPr>
  </w:style>
  <w:style w:type="paragraph" w:styleId="Heading7">
    <w:name w:val="heading 7"/>
    <w:basedOn w:val="Normal"/>
    <w:next w:val="Normal"/>
    <w:link w:val="Heading7Char"/>
    <w:uiPriority w:val="9"/>
    <w:unhideWhenUsed/>
    <w:qFormat/>
    <w:rsid w:val="00C8760B"/>
    <w:pPr>
      <w:keepNext/>
      <w:keepLines/>
      <w:widowControl w:val="0"/>
      <w:autoSpaceDE w:val="0"/>
      <w:autoSpaceDN w:val="0"/>
      <w:jc w:val="center"/>
      <w:outlineLvl w:val="6"/>
    </w:pPr>
    <w:rPr>
      <w:rFonts w:eastAsiaTheme="majorEastAsia" w:cstheme="majorBidi"/>
      <w:iCs/>
      <w:color w:val="000000" w:themeColor="text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30A3B"/>
    <w:pPr>
      <w:spacing w:after="120" w:line="240" w:lineRule="auto"/>
      <w:ind w:firstLine="720"/>
    </w:pPr>
    <w:rPr>
      <w:sz w:val="20"/>
      <w:szCs w:val="20"/>
    </w:rPr>
  </w:style>
  <w:style w:type="character" w:customStyle="1" w:styleId="FootnoteTextChar">
    <w:name w:val="Footnote Text Char"/>
    <w:basedOn w:val="DefaultParagraphFont"/>
    <w:link w:val="FootnoteText"/>
    <w:uiPriority w:val="99"/>
    <w:rsid w:val="00D30A3B"/>
    <w:rPr>
      <w:rFonts w:ascii="Times New Roman" w:hAnsi="Times New Roman"/>
      <w:sz w:val="20"/>
      <w:szCs w:val="20"/>
    </w:rPr>
  </w:style>
  <w:style w:type="paragraph" w:customStyle="1" w:styleId="Footnotesupercript">
    <w:name w:val="Footnote supercript"/>
    <w:basedOn w:val="FootnoteText"/>
    <w:link w:val="FootnotesupercriptChar"/>
    <w:autoRedefine/>
    <w:qFormat/>
    <w:rsid w:val="00D30A3B"/>
  </w:style>
  <w:style w:type="character" w:customStyle="1" w:styleId="FootnotesupercriptChar">
    <w:name w:val="Footnote supercript Char"/>
    <w:basedOn w:val="FootnoteTextChar"/>
    <w:link w:val="Footnotesupercript"/>
    <w:rsid w:val="00D30A3B"/>
    <w:rPr>
      <w:rFonts w:ascii="Times New Roman" w:hAnsi="Times New Roman"/>
      <w:sz w:val="20"/>
      <w:szCs w:val="20"/>
    </w:rPr>
  </w:style>
  <w:style w:type="character" w:styleId="FootnoteReference">
    <w:name w:val="footnote reference"/>
    <w:basedOn w:val="DefaultParagraphFont"/>
    <w:uiPriority w:val="99"/>
    <w:unhideWhenUsed/>
    <w:rsid w:val="001902CC"/>
    <w:rPr>
      <w:vertAlign w:val="superscript"/>
    </w:rPr>
  </w:style>
  <w:style w:type="character" w:customStyle="1" w:styleId="Heading1Char">
    <w:name w:val="Heading 1 Char"/>
    <w:basedOn w:val="DefaultParagraphFont"/>
    <w:link w:val="Heading1"/>
    <w:uiPriority w:val="9"/>
    <w:rsid w:val="008A4400"/>
    <w:rPr>
      <w:rFonts w:ascii="Times New Roman" w:eastAsiaTheme="majorEastAsia" w:hAnsi="Times New Roman" w:cstheme="majorBidi"/>
      <w:b/>
      <w:bCs/>
      <w:color w:val="000000" w:themeColor="text1"/>
      <w:sz w:val="24"/>
      <w:szCs w:val="28"/>
    </w:rPr>
  </w:style>
  <w:style w:type="paragraph" w:styleId="TOC1">
    <w:name w:val="toc 1"/>
    <w:basedOn w:val="Normal"/>
    <w:next w:val="Normal"/>
    <w:autoRedefine/>
    <w:uiPriority w:val="39"/>
    <w:unhideWhenUsed/>
    <w:rsid w:val="00D30A3B"/>
    <w:rPr>
      <w:rFonts w:eastAsia="Times New Roman" w:cs="Times New Roman"/>
      <w:szCs w:val="24"/>
    </w:rPr>
  </w:style>
  <w:style w:type="character" w:customStyle="1" w:styleId="Heading2Char">
    <w:name w:val="Heading 2 Char"/>
    <w:basedOn w:val="DefaultParagraphFont"/>
    <w:link w:val="Heading2"/>
    <w:uiPriority w:val="9"/>
    <w:rsid w:val="007F1483"/>
    <w:rPr>
      <w:rFonts w:ascii="Times New Roman" w:eastAsiaTheme="majorEastAsia" w:hAnsi="Times New Roman" w:cstheme="majorBidi"/>
      <w:b/>
      <w:bCs/>
      <w:color w:val="000000" w:themeColor="text1"/>
      <w:sz w:val="24"/>
      <w:szCs w:val="26"/>
    </w:rPr>
  </w:style>
  <w:style w:type="paragraph" w:customStyle="1" w:styleId="TableParagraph">
    <w:name w:val="Table Paragraph"/>
    <w:basedOn w:val="Normal"/>
    <w:uiPriority w:val="1"/>
    <w:qFormat/>
    <w:rsid w:val="00D30A3B"/>
    <w:pPr>
      <w:widowControl w:val="0"/>
      <w:autoSpaceDE w:val="0"/>
      <w:autoSpaceDN w:val="0"/>
      <w:spacing w:line="240" w:lineRule="auto"/>
      <w:ind w:left="110"/>
    </w:pPr>
    <w:rPr>
      <w:rFonts w:eastAsia="Times New Roman" w:cs="Times New Roman"/>
    </w:rPr>
  </w:style>
  <w:style w:type="character" w:customStyle="1" w:styleId="Heading3Char">
    <w:name w:val="Heading 3 Char"/>
    <w:basedOn w:val="DefaultParagraphFont"/>
    <w:link w:val="Heading3"/>
    <w:uiPriority w:val="9"/>
    <w:rsid w:val="008833AE"/>
    <w:rPr>
      <w:rFonts w:ascii="Times New Roman" w:eastAsiaTheme="majorEastAsia" w:hAnsi="Times New Roman" w:cs="Times New Roman"/>
      <w:b/>
      <w:i/>
      <w:iCs/>
      <w:sz w:val="24"/>
      <w:szCs w:val="24"/>
    </w:rPr>
  </w:style>
  <w:style w:type="paragraph" w:styleId="Header">
    <w:name w:val="header"/>
    <w:basedOn w:val="Normal"/>
    <w:link w:val="HeaderChar"/>
    <w:uiPriority w:val="99"/>
    <w:unhideWhenUsed/>
    <w:rsid w:val="00D30A3B"/>
    <w:pPr>
      <w:tabs>
        <w:tab w:val="center" w:pos="4680"/>
        <w:tab w:val="right" w:pos="9360"/>
      </w:tabs>
      <w:spacing w:line="240" w:lineRule="auto"/>
    </w:pPr>
  </w:style>
  <w:style w:type="character" w:customStyle="1" w:styleId="HeaderChar">
    <w:name w:val="Header Char"/>
    <w:basedOn w:val="DefaultParagraphFont"/>
    <w:link w:val="Header"/>
    <w:uiPriority w:val="99"/>
    <w:rsid w:val="00D30A3B"/>
    <w:rPr>
      <w:rFonts w:ascii="Times New Roman" w:hAnsi="Times New Roman"/>
      <w:sz w:val="24"/>
    </w:rPr>
  </w:style>
  <w:style w:type="paragraph" w:styleId="Footer">
    <w:name w:val="footer"/>
    <w:basedOn w:val="Normal"/>
    <w:link w:val="FooterChar"/>
    <w:uiPriority w:val="99"/>
    <w:unhideWhenUsed/>
    <w:rsid w:val="00D30A3B"/>
    <w:pPr>
      <w:tabs>
        <w:tab w:val="center" w:pos="4680"/>
        <w:tab w:val="right" w:pos="9360"/>
      </w:tabs>
      <w:spacing w:line="240" w:lineRule="auto"/>
    </w:pPr>
  </w:style>
  <w:style w:type="character" w:customStyle="1" w:styleId="FooterChar">
    <w:name w:val="Footer Char"/>
    <w:basedOn w:val="DefaultParagraphFont"/>
    <w:link w:val="Footer"/>
    <w:uiPriority w:val="99"/>
    <w:rsid w:val="00D30A3B"/>
    <w:rPr>
      <w:rFonts w:ascii="Times New Roman" w:hAnsi="Times New Roman"/>
      <w:sz w:val="24"/>
    </w:rPr>
  </w:style>
  <w:style w:type="paragraph" w:styleId="BodyText">
    <w:name w:val="Body Text"/>
    <w:basedOn w:val="Normal"/>
    <w:link w:val="BodyTextChar"/>
    <w:uiPriority w:val="1"/>
    <w:qFormat/>
    <w:rsid w:val="00D30A3B"/>
    <w:pPr>
      <w:widowControl w:val="0"/>
      <w:autoSpaceDE w:val="0"/>
      <w:autoSpaceDN w:val="0"/>
      <w:spacing w:line="240" w:lineRule="auto"/>
    </w:pPr>
    <w:rPr>
      <w:rFonts w:eastAsia="Times New Roman" w:cs="Times New Roman"/>
      <w:sz w:val="21"/>
      <w:szCs w:val="21"/>
    </w:rPr>
  </w:style>
  <w:style w:type="character" w:customStyle="1" w:styleId="BodyTextChar">
    <w:name w:val="Body Text Char"/>
    <w:basedOn w:val="DefaultParagraphFont"/>
    <w:link w:val="BodyText"/>
    <w:uiPriority w:val="1"/>
    <w:rsid w:val="00D30A3B"/>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D30A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A3B"/>
    <w:rPr>
      <w:rFonts w:ascii="Segoe UI" w:hAnsi="Segoe UI" w:cs="Segoe UI"/>
      <w:sz w:val="18"/>
      <w:szCs w:val="18"/>
    </w:rPr>
  </w:style>
  <w:style w:type="table" w:styleId="TableGrid">
    <w:name w:val="Table Grid"/>
    <w:basedOn w:val="TableNormal"/>
    <w:uiPriority w:val="59"/>
    <w:rsid w:val="00D30A3B"/>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A3B"/>
    <w:pPr>
      <w:spacing w:line="240" w:lineRule="auto"/>
      <w:ind w:left="720"/>
      <w:contextualSpacing/>
    </w:pPr>
    <w:rPr>
      <w:rFonts w:eastAsia="Times New Roman" w:cs="Times New Roman"/>
      <w:szCs w:val="24"/>
    </w:rPr>
  </w:style>
  <w:style w:type="character" w:customStyle="1" w:styleId="Heading7Char">
    <w:name w:val="Heading 7 Char"/>
    <w:basedOn w:val="DefaultParagraphFont"/>
    <w:link w:val="Heading7"/>
    <w:uiPriority w:val="9"/>
    <w:rsid w:val="00C8760B"/>
    <w:rPr>
      <w:rFonts w:ascii="Times New Roman" w:eastAsiaTheme="majorEastAsia" w:hAnsi="Times New Roman" w:cstheme="majorBidi"/>
      <w:iCs/>
      <w:color w:val="000000" w:themeColor="text1"/>
      <w:sz w:val="24"/>
      <w:lang w:bidi="en-US"/>
    </w:rPr>
  </w:style>
  <w:style w:type="paragraph" w:styleId="TableofAuthorities">
    <w:name w:val="table of authorities"/>
    <w:basedOn w:val="Normal"/>
    <w:next w:val="Normal"/>
    <w:autoRedefine/>
    <w:uiPriority w:val="99"/>
    <w:semiHidden/>
    <w:unhideWhenUsed/>
    <w:rsid w:val="00351262"/>
    <w:pPr>
      <w:widowControl w:val="0"/>
      <w:autoSpaceDE w:val="0"/>
      <w:autoSpaceDN w:val="0"/>
      <w:spacing w:after="180" w:line="240" w:lineRule="auto"/>
      <w:ind w:left="360" w:hanging="360"/>
    </w:pPr>
    <w:rPr>
      <w:rFonts w:eastAsia="Times New Roman" w:cs="Times New Roman"/>
      <w:b/>
    </w:rPr>
  </w:style>
  <w:style w:type="character" w:customStyle="1" w:styleId="Heading4Char">
    <w:name w:val="Heading 4 Char"/>
    <w:basedOn w:val="DefaultParagraphFont"/>
    <w:link w:val="Heading4"/>
    <w:uiPriority w:val="9"/>
    <w:rsid w:val="002C6F23"/>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2C6F23"/>
    <w:rPr>
      <w:rFonts w:ascii="Times New Roman" w:eastAsiaTheme="majorEastAsia" w:hAnsi="Times New Roman" w:cstheme="majorBidi"/>
      <w:b/>
      <w:i/>
      <w:color w:val="000000" w:themeColor="text1"/>
      <w:sz w:val="24"/>
    </w:rPr>
  </w:style>
  <w:style w:type="character" w:styleId="Hyperlink">
    <w:name w:val="Hyperlink"/>
    <w:basedOn w:val="DefaultParagraphFont"/>
    <w:uiPriority w:val="99"/>
    <w:unhideWhenUsed/>
    <w:rsid w:val="00EF61EA"/>
    <w:rPr>
      <w:color w:val="0563C1"/>
      <w:u w:val="single"/>
    </w:rPr>
  </w:style>
  <w:style w:type="character" w:styleId="CommentReference">
    <w:name w:val="annotation reference"/>
    <w:basedOn w:val="DefaultParagraphFont"/>
    <w:uiPriority w:val="99"/>
    <w:semiHidden/>
    <w:unhideWhenUsed/>
    <w:rsid w:val="00EF5DE2"/>
    <w:rPr>
      <w:sz w:val="16"/>
      <w:szCs w:val="16"/>
    </w:rPr>
  </w:style>
  <w:style w:type="paragraph" w:styleId="CommentText">
    <w:name w:val="annotation text"/>
    <w:basedOn w:val="Normal"/>
    <w:link w:val="CommentTextChar"/>
    <w:uiPriority w:val="99"/>
    <w:semiHidden/>
    <w:unhideWhenUsed/>
    <w:rsid w:val="00EF5DE2"/>
    <w:pPr>
      <w:spacing w:line="240" w:lineRule="auto"/>
    </w:pPr>
    <w:rPr>
      <w:sz w:val="20"/>
      <w:szCs w:val="20"/>
    </w:rPr>
  </w:style>
  <w:style w:type="character" w:customStyle="1" w:styleId="CommentTextChar">
    <w:name w:val="Comment Text Char"/>
    <w:basedOn w:val="DefaultParagraphFont"/>
    <w:link w:val="CommentText"/>
    <w:uiPriority w:val="99"/>
    <w:semiHidden/>
    <w:rsid w:val="00EF5D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5DE2"/>
    <w:rPr>
      <w:b/>
      <w:bCs/>
    </w:rPr>
  </w:style>
  <w:style w:type="character" w:customStyle="1" w:styleId="CommentSubjectChar">
    <w:name w:val="Comment Subject Char"/>
    <w:basedOn w:val="CommentTextChar"/>
    <w:link w:val="CommentSubject"/>
    <w:uiPriority w:val="99"/>
    <w:semiHidden/>
    <w:rsid w:val="00EF5DE2"/>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CC66BA"/>
    <w:rPr>
      <w:color w:val="605E5C"/>
      <w:shd w:val="clear" w:color="auto" w:fill="E1DFDD"/>
    </w:rPr>
  </w:style>
  <w:style w:type="paragraph" w:customStyle="1" w:styleId="item-home">
    <w:name w:val="item-home"/>
    <w:basedOn w:val="Normal"/>
    <w:rsid w:val="001B17D4"/>
    <w:pPr>
      <w:spacing w:before="100" w:beforeAutospacing="1" w:after="100" w:afterAutospacing="1" w:line="240" w:lineRule="auto"/>
    </w:pPr>
    <w:rPr>
      <w:rFonts w:eastAsia="Times New Roman" w:cs="Times New Roman"/>
      <w:szCs w:val="24"/>
    </w:rPr>
  </w:style>
  <w:style w:type="paragraph" w:customStyle="1" w:styleId="separator">
    <w:name w:val="separator"/>
    <w:basedOn w:val="Normal"/>
    <w:rsid w:val="001B17D4"/>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877EF8"/>
    <w:pPr>
      <w:spacing w:before="240" w:line="259" w:lineRule="auto"/>
      <w:jc w:val="left"/>
      <w:outlineLvl w:val="9"/>
    </w:pPr>
    <w:rPr>
      <w:rFonts w:asciiTheme="majorHAnsi" w:hAnsiTheme="majorHAnsi"/>
      <w:b w:val="0"/>
      <w:bCs w:val="0"/>
      <w:color w:val="B35E06" w:themeColor="accent1" w:themeShade="BF"/>
      <w:sz w:val="32"/>
      <w:szCs w:val="32"/>
    </w:rPr>
  </w:style>
  <w:style w:type="paragraph" w:styleId="TOC2">
    <w:name w:val="toc 2"/>
    <w:basedOn w:val="Normal"/>
    <w:next w:val="Normal"/>
    <w:autoRedefine/>
    <w:uiPriority w:val="39"/>
    <w:unhideWhenUsed/>
    <w:rsid w:val="00877EF8"/>
    <w:pPr>
      <w:tabs>
        <w:tab w:val="right" w:leader="dot" w:pos="9350"/>
      </w:tabs>
      <w:spacing w:after="100"/>
      <w:ind w:left="240" w:firstLine="480"/>
    </w:pPr>
  </w:style>
  <w:style w:type="paragraph" w:styleId="TOC3">
    <w:name w:val="toc 3"/>
    <w:basedOn w:val="Normal"/>
    <w:next w:val="Normal"/>
    <w:autoRedefine/>
    <w:uiPriority w:val="39"/>
    <w:unhideWhenUsed/>
    <w:rsid w:val="00877EF8"/>
    <w:pPr>
      <w:tabs>
        <w:tab w:val="right" w:leader="dot" w:pos="9350"/>
      </w:tabs>
      <w:spacing w:after="100"/>
      <w:ind w:left="480" w:firstLine="960"/>
    </w:pPr>
  </w:style>
  <w:style w:type="paragraph" w:styleId="TOC4">
    <w:name w:val="toc 4"/>
    <w:basedOn w:val="Normal"/>
    <w:next w:val="Normal"/>
    <w:autoRedefine/>
    <w:uiPriority w:val="39"/>
    <w:unhideWhenUsed/>
    <w:rsid w:val="00877EF8"/>
    <w:pPr>
      <w:tabs>
        <w:tab w:val="right" w:leader="dot" w:pos="9350"/>
      </w:tabs>
      <w:spacing w:after="100"/>
      <w:ind w:left="720" w:firstLine="1440"/>
    </w:pPr>
  </w:style>
  <w:style w:type="paragraph" w:styleId="TOC5">
    <w:name w:val="toc 5"/>
    <w:basedOn w:val="Normal"/>
    <w:next w:val="Normal"/>
    <w:autoRedefine/>
    <w:uiPriority w:val="39"/>
    <w:unhideWhenUsed/>
    <w:rsid w:val="00877EF8"/>
    <w:pPr>
      <w:tabs>
        <w:tab w:val="right" w:leader="dot" w:pos="9350"/>
      </w:tabs>
      <w:spacing w:after="100"/>
      <w:ind w:left="960" w:firstLine="1920"/>
    </w:pPr>
  </w:style>
  <w:style w:type="character" w:styleId="FollowedHyperlink">
    <w:name w:val="FollowedHyperlink"/>
    <w:basedOn w:val="DefaultParagraphFont"/>
    <w:uiPriority w:val="99"/>
    <w:semiHidden/>
    <w:unhideWhenUsed/>
    <w:rsid w:val="00531673"/>
    <w:rPr>
      <w:color w:val="B26B02" w:themeColor="followedHyperlink"/>
      <w:u w:val="single"/>
    </w:rPr>
  </w:style>
  <w:style w:type="paragraph" w:styleId="NormalWeb">
    <w:name w:val="Normal (Web)"/>
    <w:basedOn w:val="Normal"/>
    <w:uiPriority w:val="99"/>
    <w:unhideWhenUsed/>
    <w:rsid w:val="00895C88"/>
    <w:rPr>
      <w:rFonts w:cs="Times New Roman"/>
      <w:szCs w:val="24"/>
    </w:rPr>
  </w:style>
  <w:style w:type="character" w:styleId="UnresolvedMention">
    <w:name w:val="Unresolved Mention"/>
    <w:basedOn w:val="DefaultParagraphFont"/>
    <w:uiPriority w:val="99"/>
    <w:semiHidden/>
    <w:unhideWhenUsed/>
    <w:rsid w:val="00212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04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155/2023/7746349" TargetMode="External"/><Relationship Id="rId18" Type="http://schemas.openxmlformats.org/officeDocument/2006/relationships/hyperlink" Target="https://doi.org/10.1111/jgs.18585" TargetMode="External"/><Relationship Id="rId26" Type="http://schemas.openxmlformats.org/officeDocument/2006/relationships/hyperlink" Target="https://ebooks.cenreader.com/" TargetMode="External"/><Relationship Id="rId3" Type="http://schemas.openxmlformats.org/officeDocument/2006/relationships/styles" Target="styles.xml"/><Relationship Id="rId21" Type="http://schemas.openxmlformats.org/officeDocument/2006/relationships/hyperlink" Target="https://doi.org/10.1155/2021/1247202" TargetMode="External"/><Relationship Id="rId7" Type="http://schemas.openxmlformats.org/officeDocument/2006/relationships/endnotes" Target="endnotes.xml"/><Relationship Id="rId12" Type="http://schemas.openxmlformats.org/officeDocument/2006/relationships/hyperlink" Target="https://doi.org/10.1371/journal.pone.0310081" TargetMode="External"/><Relationship Id="rId17" Type="http://schemas.openxmlformats.org/officeDocument/2006/relationships/hyperlink" Target="https://doi.org/10.18549/PharmPract.2021.3.2442" TargetMode="External"/><Relationship Id="rId25" Type="http://schemas.openxmlformats.org/officeDocument/2006/relationships/hyperlink" Target="https://doi.org/10.1016/j.sapharm.2022.05.005" TargetMode="External"/><Relationship Id="rId2" Type="http://schemas.openxmlformats.org/officeDocument/2006/relationships/numbering" Target="numbering.xml"/><Relationship Id="rId16" Type="http://schemas.openxmlformats.org/officeDocument/2006/relationships/hyperlink" Target="https://doi.org/10.1016/j.sapharm.2020.11.011" TargetMode="External"/><Relationship Id="rId20" Type="http://schemas.openxmlformats.org/officeDocument/2006/relationships/hyperlink" Target="https://doi.org/10.1089/tmj.2022.001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16/j.sapharm.2022.11.003" TargetMode="External"/><Relationship Id="rId5" Type="http://schemas.openxmlformats.org/officeDocument/2006/relationships/webSettings" Target="webSettings.xml"/><Relationship Id="rId15" Type="http://schemas.openxmlformats.org/officeDocument/2006/relationships/hyperlink" Target="https://doi.org/10.1016/j.sapharm.2021.10.001" TargetMode="External"/><Relationship Id="rId23" Type="http://schemas.openxmlformats.org/officeDocument/2006/relationships/hyperlink" Target="https://doi.org/10.1016/j.healthpol.2021.11.007"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1016/j.sapharm.2023.08.00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sapharm.2022.06.001" TargetMode="External"/><Relationship Id="rId22" Type="http://schemas.openxmlformats.org/officeDocument/2006/relationships/hyperlink" Target="https://doi.org/10.1186/s12910-024-01082-4" TargetMode="External"/><Relationship Id="rId27" Type="http://schemas.openxmlformats.org/officeDocument/2006/relationships/hyperlink" Target="https://doi.org/10.1016/j.sapharm.2022.03.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tte\Downloads\APA_Professional%20(4).dotm"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49219-AFAC-4C53-B003-61056B6F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APA_Professional (4)</Template>
  <TotalTime>3</TotalTime>
  <Pages>24</Pages>
  <Words>5593</Words>
  <Characters>36737</Characters>
  <Application>Microsoft Office Word</Application>
  <DocSecurity>0</DocSecurity>
  <Lines>565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Fung</dc:creator>
  <cp:keywords/>
  <dc:description/>
  <cp:lastModifiedBy>정 한</cp:lastModifiedBy>
  <cp:revision>4</cp:revision>
  <cp:lastPrinted>2020-01-03T23:33:00Z</cp:lastPrinted>
  <dcterms:created xsi:type="dcterms:W3CDTF">2025-08-05T16:04:00Z</dcterms:created>
  <dcterms:modified xsi:type="dcterms:W3CDTF">2025-08-05T16:06:00Z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28e657ca-a78e-415d-a400-538bcf3e0218</vt:lpwstr>
  </property>
</Properties>
</file>