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7598CF"/>
          <w:sz w:val="26"/>
          <w:szCs w:val="26"/>
        </w:rPr>
        <w:t xml:space="preserve">Fashion Mind</w:t>
      </w:r>
    </w:p>
    <w:p>
      <w:pPr>
        <w:pBdr>
          <w:bottom w:val="single" w:color="28071C" w:sz="12" w:space="6"/>
        </w:pBdr>
        <w:spacing w:after="200"/>
      </w:pPr>
      <w:r>
        <w:rPr>
          <w:b/>
          <w:bCs/>
          <w:color w:val="28071C"/>
          <w:sz w:val="36"/>
          <w:szCs w:val="36"/>
        </w:rPr>
        <w:t xml:space="preserve">Guia de Importação — Cadastro de Produtos</w:t>
      </w:r>
    </w:p>
    <w:p>
      <w:pPr>
        <w:spacing w:after="120" w:line="276"/>
      </w:pPr>
      <w:r>
        <w:t xml:space="preserve">Este guia mostra como importar o catálogo de produtos no Fashion Mind. </w:t>
      </w:r>
      <w:r>
        <w:rPr>
          <w:b/>
          <w:bCs/>
        </w:rPr>
        <w:t xml:space="preserve">O cliente não precisa de um modelo ou template especial</w:t>
      </w:r>
      <w:r>
        <w:t xml:space="preserve"> — qualquer planilha de cadastro (a mesma exportação do ERP) funciona, desde que tenha as três colunas obrigatórias abaixo.</w:t>
      </w:r>
    </w:p>
    <w:p>
      <w:pPr>
        <w:pStyle w:val="Heading1"/>
        <w:spacing w:after="140" w:before="280"/>
      </w:pPr>
      <w:r>
        <w:rPr>
          <w:b/>
          <w:bCs/>
          <w:color w:val="28071C"/>
        </w:rPr>
        <w:t xml:space="preserve">1. Formato do arquivo</w:t>
      </w:r>
    </w:p>
    <w:p>
      <w:pPr>
        <w:spacing w:after="120" w:line="276"/>
      </w:pPr>
      <w:r>
        <w:rPr>
          <w:b/>
          <w:bCs/>
        </w:rPr>
        <w:t xml:space="preserve">• </w:t>
      </w:r>
      <w:r>
        <w:rPr>
          <w:b/>
          <w:bCs/>
        </w:rPr>
        <w:t xml:space="preserve">Excel (.xlsx) ou CSV (.csv)</w:t>
      </w:r>
      <w:r>
        <w:t xml:space="preserve"> — os dois funcionam.</w:t>
      </w:r>
    </w:p>
    <w:p>
      <w:pPr>
        <w:spacing w:after="120" w:line="276"/>
      </w:pPr>
      <w:r>
        <w:t xml:space="preserve">• Uma aba com uma linha de cabeçalho na primeira linha, e um produto por linha.</w:t>
      </w:r>
    </w:p>
    <w:p>
      <w:pPr>
        <w:spacing w:after="120" w:line="276"/>
      </w:pPr>
      <w:r>
        <w:t xml:space="preserve">• Se o arquivo tiver várias abas, o sistema pergunta qual usar.</w:t>
      </w:r>
    </w:p>
    <w:p>
      <w:pPr>
        <w:spacing w:after="120" w:line="276"/>
      </w:pPr>
      <w:r>
        <w:t xml:space="preserve">• Arquivos muito grandes: exporte apenas a aba do cadastro. Evite arquivos acima de ~150 MB — se estiver no iCloud/OneDrive, garanta que foi baixado para o computador antes (ícone de nuvem = ainda na nuvem).</w:t>
      </w:r>
    </w:p>
    <w:p>
      <w:pPr>
        <w:pStyle w:val="Heading1"/>
        <w:spacing w:after="140" w:before="280"/>
      </w:pPr>
      <w:r>
        <w:rPr>
          <w:b/>
          <w:bCs/>
          <w:color w:val="28071C"/>
        </w:rPr>
        <w:t xml:space="preserve">2. Colunas — o que é obrigatório</w:t>
      </w:r>
    </w:p>
    <w:p>
      <w:pPr>
        <w:spacing w:after="120" w:line="276"/>
      </w:pPr>
      <w:r>
        <w:t xml:space="preserve">Apenas </w:t>
      </w:r>
      <w:r>
        <w:rPr>
          <w:b/>
          <w:bCs/>
          <w:color w:val="B00020"/>
        </w:rPr>
        <w:t xml:space="preserve">três colunas são obrigatórias</w:t>
      </w:r>
      <w:r>
        <w:t xml:space="preserve">: Código (SKU), Preço de Venda e Custo. Todo o resto é opcional, mas quanto mais preencher, mais rico fica o planejamento. As colunas de hierarquia, temporada e coleção são as que alimentam os cards de Hierarquia, Temporadas e Coleções.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  <w:gridCol w:w="1560"/>
      </w:tblGrid>
      <w:tr>
        <w:trPr>
          <w:tblHeader/>
        </w:trPr>
        <w:tc>
          <w:tcPr>
            <w:tcW w:type="dxa" w:w="2600"/>
            <w:shd w:fill="2807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Coluna no sistema</w:t>
            </w:r>
          </w:p>
        </w:tc>
        <w:tc>
          <w:tcPr>
            <w:tcW w:type="dxa" w:w="2000"/>
            <w:shd w:fill="2807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Obrigatória?</w:t>
            </w:r>
          </w:p>
        </w:tc>
        <w:tc>
          <w:tcPr>
            <w:tcW w:type="dxa" w:w="4400"/>
            <w:shd w:fill="2807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 que é</w:t>
            </w:r>
          </w:p>
        </w:tc>
        <w:tc>
          <w:tcPr>
            <w:tcW w:type="dxa" w:w="1560"/>
            <w:shd w:fill="2807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Exemplo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Código (SKU)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00020"/>
              </w:rPr>
              <w:t xml:space="preserve">SIM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Código único do produto. É a chave — sem ele a linha não entra.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SKU_1000_COR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Preço de Venda (R$)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00020"/>
              </w:rPr>
              <w:t xml:space="preserve">SIM</w:t>
            </w:r>
          </w:p>
        </w:tc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Preço cheio ao consumidor. Ponto como separador decimal.</w:t>
            </w:r>
          </w:p>
        </w:tc>
        <w:tc>
          <w:tcPr>
            <w:tcW w:type="dxa" w:w="1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359.90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 (R$)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00020"/>
              </w:rPr>
              <w:t xml:space="preserve">SIM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 de compra ou fabricação. Ponto decimal.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98.25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Descrição / Nome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7A3D"/>
              </w:rPr>
              <w:t xml:space="preserve">Opcional</w:t>
            </w:r>
          </w:p>
        </w:tc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Nome do produto. Se não houver, o sistema monta a partir de categoria + modelo + cor.</w:t>
            </w:r>
          </w:p>
        </w:tc>
        <w:tc>
          <w:tcPr>
            <w:tcW w:type="dxa" w:w="1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Saia Modelo 1 Vermelho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Divisão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7598CF"/>
              </w:rPr>
              <w:t xml:space="preserve">Recomendada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Nível 1 da hierarquia. Ex: Feminino, Masculino.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Feminino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Categoria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7598CF"/>
              </w:rPr>
              <w:t xml:space="preserve">Recomendada</w:t>
            </w:r>
          </w:p>
        </w:tc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Nível 2 da hierarquia. Ex: Saias, Blusas.</w:t>
            </w:r>
          </w:p>
        </w:tc>
        <w:tc>
          <w:tcPr>
            <w:tcW w:type="dxa" w:w="1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Saias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Subcategoria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7598CF"/>
              </w:rPr>
              <w:t xml:space="preserve">Recomendada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Nível 3 da hierarquia.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Ampla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Linha / Grupo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7A3D"/>
              </w:rPr>
              <w:t xml:space="preserve">Opcional</w:t>
            </w:r>
          </w:p>
        </w:tc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Nível adicional da hierarquia do ERP.</w:t>
            </w:r>
          </w:p>
        </w:tc>
        <w:tc>
          <w:tcPr>
            <w:tcW w:type="dxa" w:w="1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Midi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Modelo / Referência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7A3D"/>
              </w:rPr>
              <w:t xml:space="preserve">Opcional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Código ou referência do modelo.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Modelo 1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Temporada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7598CF"/>
              </w:rPr>
              <w:t xml:space="preserve">Recomendada</w:t>
            </w:r>
          </w:p>
        </w:tc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Reconhece nome (Verão 2026) ou código de mercado (PV26, OI25).</w:t>
            </w:r>
          </w:p>
        </w:tc>
        <w:tc>
          <w:tcPr>
            <w:tcW w:type="dxa" w:w="1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PV26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Coleção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7598CF"/>
              </w:rPr>
              <w:t xml:space="preserve">Recomendada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Coleção dentro da temporada. Aparece no card mesmo sem data.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PV26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Cor (do fornecedor)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7A3D"/>
              </w:rPr>
              <w:t xml:space="preserve">Opcional</w:t>
            </w:r>
          </w:p>
        </w:tc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Cor como no ERP. O grupo de cor é calculado automaticamente.</w:t>
            </w:r>
          </w:p>
        </w:tc>
        <w:tc>
          <w:tcPr>
            <w:tcW w:type="dxa" w:w="1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Coral Pink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Material Principal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7A3D"/>
              </w:rPr>
              <w:t xml:space="preserve">Opcional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Composição principal.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Sarja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Data da Última Entrada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7A3D"/>
              </w:rPr>
              <w:t xml:space="preserve">Opcional</w:t>
            </w:r>
          </w:p>
        </w:tc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Última entrada em estoque. AAAA-MM-DD ou DD/MM/AAAA.</w:t>
            </w:r>
          </w:p>
        </w:tc>
        <w:tc>
          <w:tcPr>
            <w:tcW w:type="dxa" w:w="1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2026-03-15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Nível de Risco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7A3D"/>
              </w:rPr>
              <w:t xml:space="preserve">Opcional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Sustentador de Margem, Motor de Giro ou Ícone de Marca.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Motor de Giro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Faixa de Preço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7A3D"/>
              </w:rPr>
              <w:t xml:space="preserve">Opcional</w:t>
            </w:r>
          </w:p>
        </w:tc>
        <w:tc>
          <w:tcPr>
            <w:tcW w:type="dxa" w:w="4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P1 (entrada), P2 (médio) ou P3 (premium).</w:t>
            </w:r>
          </w:p>
        </w:tc>
        <w:tc>
          <w:tcPr>
            <w:tcW w:type="dxa" w:w="1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P2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Legenda: </w:t>
      </w:r>
      <w:r>
        <w:rPr>
          <w:b/>
          <w:bCs/>
          <w:color w:val="B00020"/>
        </w:rPr>
        <w:t xml:space="preserve">SIM</w:t>
      </w:r>
      <w:r>
        <w:t xml:space="preserve"> = sem ela a importação não conclui   ·   </w:t>
      </w:r>
      <w:r>
        <w:rPr>
          <w:color w:val="7598CF"/>
        </w:rPr>
        <w:t xml:space="preserve">Recomendada</w:t>
      </w:r>
      <w:r>
        <w:t xml:space="preserve"> = alimenta os cards e telas   ·   </w:t>
      </w:r>
      <w:r>
        <w:rPr>
          <w:color w:val="1B7A3D"/>
        </w:rPr>
        <w:t xml:space="preserve">Opcional</w:t>
      </w:r>
      <w:r>
        <w:t xml:space="preserve"> = enriquece, mas não bloqueia.</w:t>
      </w:r>
    </w:p>
    <w:p>
      <w:pPr>
        <w:pStyle w:val="Heading1"/>
        <w:spacing w:after="140" w:before="280"/>
      </w:pPr>
      <w:r>
        <w:rPr>
          <w:b/>
          <w:bCs/>
          <w:color w:val="28071C"/>
        </w:rPr>
        <w:t xml:space="preserve">3. Passo a passo na tela</w:t>
      </w:r>
    </w:p>
    <w:p>
      <w:pPr>
        <w:spacing w:after="120" w:line="276"/>
      </w:pPr>
      <w:r>
        <w:rPr>
          <w:b/>
          <w:bCs/>
        </w:rPr>
        <w:t xml:space="preserve">1. </w:t>
      </w:r>
      <w:r>
        <w:t xml:space="preserve">Configurações de Operação</w:t>
      </w:r>
      <w:r>
        <w:t xml:space="preserve"> → seção </w:t>
      </w:r>
      <w:r>
        <w:rPr>
          <w:b/>
          <w:bCs/>
        </w:rPr>
        <w:t xml:space="preserve">Importar dados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2. </w:t>
      </w:r>
      <w:r>
        <w:t xml:space="preserve">Escolha </w:t>
      </w:r>
      <w:r>
        <w:rPr>
          <w:b/>
          <w:bCs/>
        </w:rPr>
        <w:t xml:space="preserve">Cadastro de Produtos</w:t>
      </w:r>
      <w:r>
        <w:t xml:space="preserve"> e selecione (ou arraste) o arquivo.</w:t>
      </w:r>
    </w:p>
    <w:p>
      <w:pPr>
        <w:spacing w:after="120" w:line="276"/>
      </w:pPr>
      <w:r>
        <w:rPr>
          <w:b/>
          <w:bCs/>
        </w:rPr>
        <w:t xml:space="preserve">3. </w:t>
      </w:r>
      <w:r>
        <w:t xml:space="preserve">Se houver várias abas, escolha a aba do cadastro.</w:t>
      </w:r>
    </w:p>
    <w:p>
      <w:pPr>
        <w:spacing w:after="120" w:line="276"/>
      </w:pPr>
      <w:r>
        <w:rPr>
          <w:b/>
          <w:bCs/>
        </w:rPr>
        <w:t xml:space="preserve">4. </w:t>
      </w:r>
      <w:r>
        <w:rPr>
          <w:b/>
          <w:bCs/>
        </w:rPr>
        <w:t xml:space="preserve">Mapeamento</w:t>
      </w:r>
      <w:r>
        <w:t xml:space="preserve">: o sistema tenta ligar as colunas da planilha aos campos automaticamente. Confira e ajuste onde o nome da sua coluna for diferente. Os três campos obrigatórios ficam marcados em vermelho até serem mapeados.</w:t>
      </w:r>
    </w:p>
    <w:p>
      <w:pPr>
        <w:spacing w:after="120" w:line="276"/>
      </w:pPr>
      <w:r>
        <w:rPr>
          <w:b/>
          <w:bCs/>
        </w:rPr>
        <w:t xml:space="preserve">5. </w:t>
      </w:r>
      <w:r>
        <w:t xml:space="preserve">Confirme. O sistema valida e importa. Ao final mostra quantas linhas entraram.</w:t>
      </w:r>
    </w:p>
    <w:p>
      <w:pPr>
        <w:pStyle w:val="Heading1"/>
        <w:spacing w:after="140" w:before="280"/>
      </w:pPr>
      <w:r>
        <w:rPr>
          <w:b/>
          <w:bCs/>
          <w:color w:val="28071C"/>
        </w:rPr>
        <w:t xml:space="preserve">4. O que acontece automaticamente após importar</w:t>
      </w:r>
    </w:p>
    <w:p>
      <w:pPr>
        <w:spacing w:after="120" w:line="276"/>
      </w:pPr>
      <w:r>
        <w:t xml:space="preserve">Assim que o catálogo entra, o sistema sincroniza sozinho — sem passo extra:</w:t>
      </w:r>
    </w:p>
    <w:p>
      <w:pPr>
        <w:spacing w:after="120" w:line="276"/>
      </w:pPr>
      <w:r>
        <w:t xml:space="preserve">• </w:t>
      </w:r>
      <w:r>
        <w:rPr>
          <w:b/>
          <w:bCs/>
        </w:rPr>
        <w:t xml:space="preserve">Hierarquia de Produtos</w:t>
      </w:r>
      <w:r>
        <w:t xml:space="preserve"> — monta a árvore Divisão → Categoria → Subcategoria a partir dos produtos.</w:t>
      </w:r>
    </w:p>
    <w:p>
      <w:pPr>
        <w:spacing w:after="120" w:line="276"/>
      </w:pPr>
      <w:r>
        <w:t xml:space="preserve">• </w:t>
      </w:r>
      <w:r>
        <w:rPr>
          <w:b/>
          <w:bCs/>
        </w:rPr>
        <w:t xml:space="preserve">Temporadas</w:t>
      </w:r>
      <w:r>
        <w:t xml:space="preserve"> — cria as temporadas encontradas (reconhece PV/OI/SS/AW além de nomes por extenso).</w:t>
      </w:r>
    </w:p>
    <w:p>
      <w:pPr>
        <w:spacing w:after="120" w:line="276"/>
      </w:pPr>
      <w:r>
        <w:t xml:space="preserve">• </w:t>
      </w:r>
      <w:r>
        <w:rPr>
          <w:b/>
          <w:bCs/>
        </w:rPr>
        <w:t xml:space="preserve">Coleções</w:t>
      </w:r>
      <w:r>
        <w:t xml:space="preserve"> — lista todas as coleções, mesmo quando não há data definida (a data pode ser ajustada depois).</w:t>
      </w:r>
    </w:p>
    <w:p>
      <w:pPr>
        <w:spacing w:after="120" w:line="276"/>
      </w:pPr>
      <w:r>
        <w:t xml:space="preserve">Depois disso os cards de Produtos, Hierarquia, Temporadas e Coleções aparecem preenchidos.</w:t>
      </w:r>
    </w:p>
    <w:p>
      <w:pPr>
        <w:pStyle w:val="Heading1"/>
        <w:spacing w:after="140" w:before="280"/>
      </w:pPr>
      <w:r>
        <w:rPr>
          <w:b/>
          <w:bCs/>
          <w:color w:val="28071C"/>
        </w:rPr>
        <w:t xml:space="preserve">5. Erros comuns</w:t>
      </w:r>
    </w:p>
    <w:p>
      <w:pPr>
        <w:spacing w:after="120" w:line="276"/>
      </w:pPr>
      <w:r>
        <w:t xml:space="preserve">• </w:t>
      </w:r>
      <w:r>
        <w:rPr>
          <w:b/>
          <w:bCs/>
        </w:rPr>
        <w:t xml:space="preserve">"Importou 0 produtos"</w:t>
      </w:r>
      <w:r>
        <w:t xml:space="preserve"> — normalmente a coluna de SKU não foi mapeada. Confirme o mapeamento do Código (SKU).</w:t>
      </w:r>
    </w:p>
    <w:p>
      <w:pPr>
        <w:spacing w:after="120" w:line="276"/>
      </w:pPr>
      <w:r>
        <w:t xml:space="preserve">• </w:t>
      </w:r>
      <w:r>
        <w:rPr>
          <w:b/>
          <w:bCs/>
        </w:rPr>
        <w:t xml:space="preserve">"Falha ao ler o arquivo"</w:t>
      </w:r>
      <w:r>
        <w:t xml:space="preserve"> — arquivo na nuvem não baixado, ou grande demais. Baixe para o computador e/ou exporte só a aba do cadastro.</w:t>
      </w:r>
    </w:p>
    <w:p>
      <w:pPr>
        <w:spacing w:after="120" w:line="276"/>
      </w:pPr>
      <w:r>
        <w:t xml:space="preserve">• </w:t>
      </w:r>
      <w:r>
        <w:rPr>
          <w:b/>
          <w:bCs/>
        </w:rPr>
        <w:t xml:space="preserve">Categoria e Subcategoria trocadas</w:t>
      </w:r>
      <w:r>
        <w:t xml:space="preserve"> — confira no mapeamento; alguns ERPs nomeiam "Grupo/Subgrupo" no lugar de "Categoria/Subcategoria".</w:t>
      </w:r>
    </w:p>
    <w:p>
      <w:pPr>
        <w:pBdr>
          <w:top w:val="single" w:color="CCCCCC" w:sz="8" w:space="6"/>
        </w:pBdr>
        <w:spacing w:before="300"/>
      </w:pPr>
      <w:r>
        <w:rPr>
          <w:i/>
          <w:iCs/>
          <w:color w:val="555555"/>
        </w:rPr>
        <w:t xml:space="preserve">Dica: já existe uma planilha pronta (cadastro_produtos_import.xlsx) com as colunas nos nomes que o sistema reconhece — pode ser usada como modelo de referência para o cliente formatar a base dele.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2026-07-21T21:07:30.680Z</dcterms:created>
  <dcterms:modified xsi:type="dcterms:W3CDTF">2026-07-21T21:07:30.680Z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