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0" w:after="180"/>
        <w:jc w:val="center"/>
      </w:pPr>
      <w:r>
        <w:rPr>
          <w:rFonts w:ascii="Times New Roman" w:hAnsi="Times New Roman"/>
          <w:b/>
          <w:i w:val="0"/>
          <w:color w:val="1F4E79"/>
          <w:sz w:val="32"/>
        </w:rPr>
        <w:t>Machine Learning Architecture for Heart Disease Prediction</w:t>
      </w:r>
    </w:p>
    <w:p>
      <w:pPr>
        <w:widowControl/>
        <w:spacing w:after="200"/>
        <w:jc w:val="center"/>
      </w:pPr>
      <w:r>
        <w:rPr>
          <w:rFonts w:ascii="Times New Roman" w:hAnsi="Times New Roman"/>
          <w:b/>
          <w:i w:val="0"/>
          <w:sz w:val="20"/>
        </w:rPr>
        <w:t>Akanksha</w:t>
        <w:br/>
      </w:r>
      <w:r>
        <w:rPr>
          <w:rFonts w:ascii="Times New Roman" w:hAnsi="Times New Roman"/>
          <w:b w:val="0"/>
          <w:i w:val="0"/>
          <w:sz w:val="18"/>
        </w:rPr>
        <w:t>Heart Disease Prediction Project</w:t>
        <w:br/>
      </w:r>
      <w:r>
        <w:rPr>
          <w:rFonts w:ascii="Times New Roman" w:hAnsi="Times New Roman"/>
          <w:b w:val="0"/>
          <w:i w:val="0"/>
          <w:sz w:val="18"/>
        </w:rPr>
        <w:t>India</w:t>
      </w:r>
    </w:p>
    <w:p>
      <w:pPr>
        <w:widowControl/>
        <w:spacing w:after="80"/>
        <w:jc w:val="both"/>
      </w:pPr>
      <w:r>
        <w:rPr>
          <w:rFonts w:ascii="Times New Roman" w:hAnsi="Times New Roman"/>
          <w:b/>
          <w:i w:val="0"/>
          <w:sz w:val="19"/>
        </w:rPr>
        <w:t xml:space="preserve">Abstract - </w:t>
      </w:r>
      <w:r>
        <w:rPr>
          <w:rFonts w:ascii="Times New Roman" w:hAnsi="Times New Roman"/>
          <w:b w:val="0"/>
          <w:i w:val="0"/>
          <w:sz w:val="19"/>
        </w:rPr>
        <w:t>Heart disease prediction from tabular clinical data can support early risk assessment when model development is evaluated carefully. This work presents a leakage-safe machine learning pipeline that performs data understanding, stratified splitting, training-only preprocessing, feature-engineering comparison, feature selection, hyperparameter tuning, and ensemble-model evaluation. The study uses a cleaned dataset of 1,190 records; 272 duplicate rows are removed before an 80:20 stratified train-test split. PowerTransformer and L1 model-based feature selection are selected through training-fold validation. Four candidate architectures are compared, including Random Forest, soft voting with Random Forest and SVM, and stacking ensembles with XGBoost and LightGBM. The selected Random Forest, SVM, and XGBoost stacking model attains 90.22% test accuracy, 90.38% precision, 92.16% recall, 91.26% F1-score, and 93.64% ROC-AUC on the held-out test partition.</w:t>
      </w:r>
    </w:p>
    <w:p>
      <w:pPr>
        <w:widowControl/>
        <w:spacing w:after="120"/>
        <w:jc w:val="both"/>
      </w:pPr>
      <w:r>
        <w:rPr>
          <w:rFonts w:ascii="Times New Roman" w:hAnsi="Times New Roman"/>
          <w:b/>
          <w:i w:val="0"/>
          <w:sz w:val="19"/>
        </w:rPr>
        <w:t xml:space="preserve">Keywords - </w:t>
      </w:r>
      <w:r>
        <w:rPr>
          <w:rFonts w:ascii="Times New Roman" w:hAnsi="Times New Roman"/>
          <w:b w:val="0"/>
          <w:i/>
          <w:sz w:val="19"/>
        </w:rPr>
        <w:t>heart disease prediction, machine learning, leakage-safe pipeline, feature selection, ensemble learning, ROC-AUC</w:t>
      </w:r>
    </w:p>
    <w:p>
      <w:pPr>
        <w:widowControl/>
        <w:sectPr>
          <w:footerReference w:type="default" r:id="rId9"/>
          <w:pgSz w:w="11906" w:h="16838"/>
          <w:pgMar w:top="624" w:right="907" w:bottom="1020" w:left="907" w:header="340" w:footer="369" w:gutter="0"/>
          <w:cols w:space="360" w:num="1"/>
          <w:docGrid w:linePitch="360"/>
        </w:sectPr>
      </w:pPr>
    </w:p>
    <w:p>
      <w:pPr>
        <w:keepNext/>
        <w:widowControl/>
        <w:spacing w:before="160" w:after="80"/>
        <w:jc w:val="left"/>
      </w:pPr>
      <w:r>
        <w:rPr>
          <w:rFonts w:ascii="Times New Roman" w:hAnsi="Times New Roman"/>
          <w:b/>
          <w:i w:val="0"/>
          <w:color w:val="1F4E79"/>
          <w:sz w:val="22"/>
        </w:rPr>
        <w:t>I.  INTRODUCTION</w:t>
      </w:r>
    </w:p>
    <w:p>
      <w:pPr>
        <w:widowControl/>
        <w:spacing w:before="0" w:after="80" w:line="240" w:lineRule="auto"/>
        <w:jc w:val="both"/>
      </w:pPr>
      <w:r>
        <w:rPr>
          <w:rFonts w:ascii="Times New Roman" w:hAnsi="Times New Roman"/>
          <w:b w:val="0"/>
          <w:i w:val="0"/>
          <w:sz w:val="20"/>
        </w:rPr>
        <w:t>Heart disease remains a major clinical concern, and structured clinical records provide an opportunity to estimate the likelihood of disease from demographic, symptom, and examination variables. A prediction model should be treated as a decision-support component rather than a substitute for clinical judgment. Its practical value depends on transparent evaluation, stable preprocessing, and a separation between model-development data and final test data.</w:t>
      </w:r>
    </w:p>
    <w:p>
      <w:pPr>
        <w:widowControl/>
        <w:spacing w:before="0" w:after="80" w:line="240" w:lineRule="auto"/>
        <w:jc w:val="both"/>
      </w:pPr>
      <w:r>
        <w:rPr>
          <w:rFonts w:ascii="Times New Roman" w:hAnsi="Times New Roman"/>
          <w:b w:val="0"/>
          <w:i w:val="0"/>
          <w:sz w:val="20"/>
        </w:rPr>
        <w:t>This paper develops a reproducible classification workflow for heart disease prediction. The workflow compares transformations, feature-selection methods, and ensemble architectures under stratified cross-validation, then reports the final hold-out results. The design emphasizes prevention of data leakage by fitting imputation, encoding, scaling, engineering, and selection steps within the model pipelines.</w:t>
      </w:r>
    </w:p>
    <w:p>
      <w:pPr>
        <w:keepNext/>
        <w:widowControl/>
        <w:spacing w:before="160" w:after="80"/>
        <w:jc w:val="left"/>
      </w:pPr>
      <w:r>
        <w:rPr>
          <w:rFonts w:ascii="Times New Roman" w:hAnsi="Times New Roman"/>
          <w:b/>
          <w:i w:val="0"/>
          <w:color w:val="1F4E79"/>
          <w:sz w:val="22"/>
        </w:rPr>
        <w:t>II.  RELATED WORK</w:t>
      </w:r>
    </w:p>
    <w:p>
      <w:pPr>
        <w:widowControl/>
        <w:spacing w:before="0" w:after="80" w:line="240" w:lineRule="auto"/>
        <w:jc w:val="both"/>
      </w:pPr>
      <w:r>
        <w:rPr>
          <w:rFonts w:ascii="Times New Roman" w:hAnsi="Times New Roman"/>
          <w:b w:val="0"/>
          <w:i w:val="0"/>
          <w:sz w:val="20"/>
        </w:rPr>
        <w:t>Tree ensembles, support vector machines, and gradient-boosting methods are established supervised-learning approaches for clinical tabular data. Random Forest aggregates diverse decision trees to reduce variance [1], while support vector machines learn maximum-margin decision boundaries [2]. XGBoost and LightGBM provide efficient gradient-boosted tree implementations that can model nonlinear interactions in structured data [3], [4]. This study compares these methods as individual and ensemble components using one consistent validation protocol.</w:t>
      </w:r>
    </w:p>
    <w:p>
      <w:pPr>
        <w:keepNext/>
        <w:widowControl/>
        <w:spacing w:before="160" w:after="80"/>
        <w:jc w:val="left"/>
      </w:pPr>
      <w:r>
        <w:rPr>
          <w:rFonts w:ascii="Times New Roman" w:hAnsi="Times New Roman"/>
          <w:b/>
          <w:i w:val="0"/>
          <w:color w:val="1F4E79"/>
          <w:sz w:val="22"/>
        </w:rPr>
        <w:t>III.  MOTIVATION</w:t>
      </w:r>
    </w:p>
    <w:p>
      <w:pPr>
        <w:widowControl/>
        <w:spacing w:before="0" w:after="80" w:line="240" w:lineRule="auto"/>
        <w:jc w:val="both"/>
      </w:pPr>
      <w:r>
        <w:rPr>
          <w:rFonts w:ascii="Times New Roman" w:hAnsi="Times New Roman"/>
          <w:b w:val="0"/>
          <w:i w:val="0"/>
          <w:sz w:val="20"/>
        </w:rPr>
        <w:t>A strong score obtained after uncontrolled preprocessing can be misleading when transformations learn from data that should remain unseen. The motivation for this work is to construct a compact, auditable pipeline in which the modelling choices are made using training data and cross-validation. The approach also evaluates complementary feature representations and ensembles instead of assuming that one algorithm is optimal for all clinical variables.</w:t>
      </w:r>
    </w:p>
    <w:p>
      <w:pPr>
        <w:keepNext/>
        <w:widowControl/>
        <w:spacing w:before="160" w:after="80"/>
        <w:jc w:val="left"/>
      </w:pPr>
      <w:r>
        <w:rPr>
          <w:rFonts w:ascii="Times New Roman" w:hAnsi="Times New Roman"/>
          <w:b/>
          <w:i w:val="0"/>
          <w:color w:val="1F4E79"/>
          <w:sz w:val="22"/>
        </w:rPr>
        <w:t>IV.  CONTRIBUTION</w:t>
      </w:r>
    </w:p>
    <w:p>
      <w:pPr>
        <w:widowControl/>
        <w:spacing w:before="0" w:after="80" w:line="240" w:lineRule="auto"/>
        <w:jc w:val="both"/>
      </w:pPr>
      <w:r>
        <w:rPr>
          <w:rFonts w:ascii="Times New Roman" w:hAnsi="Times New Roman"/>
          <w:b w:val="0"/>
          <w:i w:val="0"/>
          <w:sz w:val="20"/>
        </w:rPr>
        <w:t>The contribution is a complete heart-disease prediction workflow with three main properties: training-only transformations, systematic comparison of feature engineering and feature selection strategies, and final reporting with accuracy, precision, recall, F1-score, ROC-AUC, and a labelled confusion matrix. The workflow also produces interpretable artefacts for comparing feature-selection performance and for diagnosing the final selected model.</w:t>
      </w:r>
    </w:p>
    <w:p>
      <w:pPr>
        <w:keepNext/>
        <w:widowControl/>
        <w:spacing w:before="160" w:after="80"/>
        <w:jc w:val="left"/>
      </w:pPr>
      <w:r>
        <w:rPr>
          <w:rFonts w:ascii="Times New Roman" w:hAnsi="Times New Roman"/>
          <w:b/>
          <w:i w:val="0"/>
          <w:color w:val="1F4E79"/>
          <w:sz w:val="22"/>
        </w:rPr>
        <w:t>V.  METHODOLOGY</w:t>
      </w:r>
    </w:p>
    <w:p>
      <w:pPr>
        <w:keepNext/>
        <w:widowControl/>
        <w:spacing w:before="100" w:after="60"/>
      </w:pPr>
      <w:r>
        <w:rPr>
          <w:rFonts w:ascii="Times New Roman" w:hAnsi="Times New Roman"/>
          <w:b/>
          <w:i w:val="0"/>
          <w:color w:val="1F4E79"/>
          <w:sz w:val="20"/>
        </w:rPr>
        <w:t>A. Data Understanding and Leakage-Safe Preprocessing</w:t>
      </w:r>
    </w:p>
    <w:p>
      <w:pPr>
        <w:widowControl/>
        <w:spacing w:before="0" w:after="80" w:line="240" w:lineRule="auto"/>
        <w:jc w:val="both"/>
      </w:pPr>
      <w:r>
        <w:rPr>
          <w:rFonts w:ascii="Times New Roman" w:hAnsi="Times New Roman"/>
          <w:b w:val="0"/>
          <w:i w:val="0"/>
          <w:sz w:val="20"/>
        </w:rPr>
        <w:t>The supplied dataset contains 1,190 observations with 11 predictor variables and a binary target. The workflow checks column types, missing values, duplicate rows, target distribution, categorical values, and numerical summaries. Duplicate records are removed before splitting, leaving 918 unique observations. Numerical features use median imputation and standard scaling; categorical features use most-frequent imputation and one-hot encoding. These operations are fitted inside the pipelines so that cross-validation and test data do not influence training transforms.</w:t>
      </w:r>
    </w:p>
    <w:p>
      <w:pPr>
        <w:keepNext/>
        <w:widowControl/>
        <w:spacing w:before="100" w:after="60"/>
      </w:pPr>
      <w:r>
        <w:rPr>
          <w:rFonts w:ascii="Times New Roman" w:hAnsi="Times New Roman"/>
          <w:b/>
          <w:i w:val="0"/>
          <w:color w:val="1F4E79"/>
          <w:sz w:val="20"/>
        </w:rPr>
        <w:t>B. Stratified Split and Feature Engineering</w:t>
      </w:r>
    </w:p>
    <w:p>
      <w:pPr>
        <w:widowControl/>
        <w:spacing w:before="0" w:after="80" w:line="240" w:lineRule="auto"/>
        <w:jc w:val="both"/>
      </w:pPr>
      <w:r>
        <w:rPr>
          <w:rFonts w:ascii="Times New Roman" w:hAnsi="Times New Roman"/>
          <w:b w:val="0"/>
          <w:i w:val="0"/>
          <w:sz w:val="20"/>
        </w:rPr>
        <w:t>The data are divided into 734 training samples and 184 testing samples using an 80:20 split stratified by the target label. Clinical feature construction adds age_group, hr_ratio, and chol_age when the required input columns are present. General feature engineering compares degree-2 polynomial expansion with a Yeo-Johnson PowerTransformer through five-fold stratified cross-validation. PowerTransformer is selected for the reported run.</w:t>
      </w:r>
    </w:p>
    <w:p>
      <w:pPr>
        <w:keepNext/>
        <w:widowControl/>
        <w:spacing w:before="100" w:after="60"/>
      </w:pPr>
      <w:r>
        <w:rPr>
          <w:rFonts w:ascii="Times New Roman" w:hAnsi="Times New Roman"/>
          <w:b/>
          <w:i w:val="0"/>
          <w:color w:val="1F4E79"/>
          <w:sz w:val="20"/>
        </w:rPr>
        <w:t>C. Feature Selection and Hyperparameter Tuning</w:t>
      </w:r>
    </w:p>
    <w:p>
      <w:pPr>
        <w:widowControl/>
        <w:spacing w:before="0" w:after="80" w:line="240" w:lineRule="auto"/>
        <w:jc w:val="both"/>
      </w:pPr>
      <w:r>
        <w:rPr>
          <w:rFonts w:ascii="Times New Roman" w:hAnsi="Times New Roman"/>
          <w:b w:val="0"/>
          <w:i w:val="0"/>
          <w:sz w:val="20"/>
        </w:rPr>
        <w:t>Mutual Information, Recursive Feature Elimination, and L1 model-based selection are compared using the transformed training data. The selected feature subset is then passed to the tuning stage. RandomizedSearchCV evaluates candidate parameter settings for Random Forest, calibrated SVM, XGBoost, and LightGBM using five-fold stratified cross-validation and accuracy as the search objective.</w:t>
      </w:r>
    </w:p>
    <w:p>
      <w:pPr>
        <w:widowControl/>
        <w:sectPr>
          <w:footerReference w:type="default" r:id="rId10"/>
          <w:type w:val="continuous"/>
          <w:pgSz w:w="11906" w:h="16838"/>
          <w:pgMar w:top="624" w:right="907" w:bottom="1020" w:left="907" w:header="340" w:footer="369" w:gutter="0"/>
          <w:cols w:space="360" w:num="2"/>
          <w:docGrid w:linePitch="360"/>
        </w:sectPr>
      </w:pPr>
    </w:p>
    <w:p>
      <w:pPr>
        <w:keepNext/>
        <w:widowControl/>
        <w:spacing w:before="160" w:after="80"/>
        <w:jc w:val="left"/>
      </w:pPr>
      <w:r>
        <w:rPr>
          <w:rFonts w:ascii="Times New Roman" w:hAnsi="Times New Roman"/>
          <w:b/>
          <w:i w:val="0"/>
          <w:color w:val="1F4E79"/>
          <w:sz w:val="22"/>
        </w:rPr>
        <w:t>V.  SYSTEM ARCHITECTURE</w:t>
      </w:r>
    </w:p>
    <w:p>
      <w:pPr>
        <w:widowControl/>
        <w:spacing w:before="0" w:after="80" w:line="240" w:lineRule="auto"/>
        <w:jc w:val="both"/>
      </w:pPr>
      <w:r>
        <w:rPr>
          <w:rFonts w:ascii="Times New Roman" w:hAnsi="Times New Roman"/>
          <w:b w:val="0"/>
          <w:i w:val="0"/>
          <w:sz w:val="18"/>
        </w:rPr>
        <w:t>Figure 1 summarizes the complete flow from clinical data inspection to final held-out evaluation. Comparison stages branch into alternative transformations, selectors, and ensemble configurations, then converge to the selected path.</w:t>
      </w:r>
    </w:p>
    <w:p>
      <w:pPr>
        <w:widowControl/>
        <w:spacing w:before="80" w:after="20"/>
        <w:jc w:val="center"/>
      </w:pPr>
      <w:r>
        <w:drawing>
          <wp:inline xmlns:a="http://schemas.openxmlformats.org/drawingml/2006/main" xmlns:pic="http://schemas.openxmlformats.org/drawingml/2006/picture">
            <wp:extent cx="4983480" cy="4983480"/>
            <wp:docPr id="1" name="Picture 1"/>
            <wp:cNvGraphicFramePr>
              <a:graphicFrameLocks noChangeAspect="1"/>
            </wp:cNvGraphicFramePr>
            <a:graphic>
              <a:graphicData uri="http://schemas.openxmlformats.org/drawingml/2006/picture">
                <pic:pic>
                  <pic:nvPicPr>
                    <pic:cNvPr id="0" name="page-1.png"/>
                    <pic:cNvPicPr/>
                  </pic:nvPicPr>
                  <pic:blipFill>
                    <a:blip r:embed="rId12"/>
                    <a:stretch>
                      <a:fillRect/>
                    </a:stretch>
                  </pic:blipFill>
                  <pic:spPr>
                    <a:xfrm>
                      <a:off x="0" y="0"/>
                      <a:ext cx="4983480" cy="4983480"/>
                    </a:xfrm>
                    <a:prstGeom prst="rect"/>
                  </pic:spPr>
                </pic:pic>
              </a:graphicData>
            </a:graphic>
          </wp:inline>
        </w:drawing>
      </w:r>
    </w:p>
    <w:p>
      <w:pPr>
        <w:widowControl/>
        <w:spacing w:before="40" w:after="120"/>
        <w:jc w:val="center"/>
      </w:pPr>
      <w:r>
        <w:rPr>
          <w:rFonts w:ascii="Times New Roman" w:hAnsi="Times New Roman"/>
          <w:b w:val="0"/>
          <w:i/>
          <w:sz w:val="18"/>
        </w:rPr>
        <w:t>Fig. 1. Leakage-safe machine learning architecture for heart disease prediction.</w:t>
      </w:r>
    </w:p>
    <w:p>
      <w:pPr>
        <w:widowControl/>
        <w:sectPr>
          <w:footerReference w:type="default" r:id="rId11"/>
          <w:pgSz w:w="11906" w:h="16838"/>
          <w:pgMar w:top="624" w:right="907" w:bottom="1020" w:left="907" w:header="340" w:footer="369" w:gutter="0"/>
          <w:cols w:space="360" w:num="1"/>
          <w:docGrid w:linePitch="360"/>
        </w:sectPr>
      </w:pPr>
    </w:p>
    <w:p>
      <w:pPr>
        <w:keepNext/>
        <w:widowControl/>
        <w:spacing w:before="100" w:after="60"/>
      </w:pPr>
      <w:r>
        <w:rPr>
          <w:rFonts w:ascii="Times New Roman" w:hAnsi="Times New Roman"/>
          <w:b/>
          <w:i w:val="0"/>
          <w:color w:val="1F4E79"/>
          <w:sz w:val="20"/>
        </w:rPr>
        <w:t>D. Model Development and Ensemble Comparison</w:t>
      </w:r>
    </w:p>
    <w:p>
      <w:pPr>
        <w:widowControl/>
        <w:spacing w:before="0" w:after="80" w:line="240" w:lineRule="auto"/>
        <w:jc w:val="both"/>
      </w:pPr>
      <w:r>
        <w:rPr>
          <w:rFonts w:ascii="Times New Roman" w:hAnsi="Times New Roman"/>
          <w:b w:val="0"/>
          <w:i w:val="0"/>
          <w:sz w:val="20"/>
        </w:rPr>
        <w:t>Four candidate architectures are trained after tuning. Model 1 is a Random Forest baseline. Model 2 combines Random Forest and calibrated SVM probabilities using soft voting. Model 3 stacks Random Forest, SVM, and XGBoost with Logistic Regression as the meta-classifier. Model 4 adds LightGBM to the stacking ensemble. All candidates produce probabilities for ROC analysis, while their class predictions support the remaining metrics.</w:t>
      </w:r>
    </w:p>
    <w:p>
      <w:pPr>
        <w:keepNext/>
        <w:widowControl/>
        <w:spacing w:before="100" w:after="60"/>
      </w:pPr>
      <w:r>
        <w:rPr>
          <w:rFonts w:ascii="Times New Roman" w:hAnsi="Times New Roman"/>
          <w:b/>
          <w:i w:val="0"/>
          <w:color w:val="1F4E79"/>
          <w:sz w:val="20"/>
        </w:rPr>
        <w:t>E. Final Evaluation</w:t>
      </w:r>
    </w:p>
    <w:p>
      <w:pPr>
        <w:widowControl/>
        <w:spacing w:before="0" w:after="80" w:line="240" w:lineRule="auto"/>
        <w:jc w:val="both"/>
      </w:pPr>
      <w:r>
        <w:rPr>
          <w:rFonts w:ascii="Times New Roman" w:hAnsi="Times New Roman"/>
          <w:b w:val="0"/>
          <w:i w:val="0"/>
          <w:sz w:val="20"/>
        </w:rPr>
        <w:t>After fitting the candidate pipelines on the training partition, predictions and probabilities are obtained for the test partition. Accuracy, precision, recall, F1-score, ROC-AUC, and the confusion matrix are computed from the test labels and predictions. The reported evaluation should be interpreted as a held-out comparison for this run; future experiments should select the final architecture using cross-validation before a single final test evaluation.</w:t>
      </w:r>
    </w:p>
    <w:p>
      <w:pPr>
        <w:keepNext/>
        <w:widowControl/>
        <w:spacing w:before="100" w:after="60"/>
      </w:pPr>
      <w:r>
        <w:rPr>
          <w:rFonts w:ascii="Times New Roman" w:hAnsi="Times New Roman"/>
          <w:b/>
          <w:i w:val="0"/>
          <w:color w:val="1F4E79"/>
          <w:sz w:val="20"/>
        </w:rPr>
        <w:t>F. Pseudocode</w:t>
      </w:r>
    </w:p>
    <w:p>
      <w:pPr>
        <w:widowControl/>
        <w:spacing w:after="40"/>
        <w:ind w:left="102"/>
      </w:pPr>
      <w:r>
        <w:rPr>
          <w:rFonts w:ascii="Times New Roman" w:hAnsi="Times New Roman"/>
          <w:b w:val="0"/>
          <w:i w:val="0"/>
          <w:sz w:val="18"/>
        </w:rPr>
        <w:t>1. Load the clinical dataset and identify the binary target column.</w:t>
      </w:r>
    </w:p>
    <w:p>
      <w:pPr>
        <w:widowControl/>
        <w:spacing w:after="40"/>
        <w:ind w:left="102"/>
      </w:pPr>
      <w:r>
        <w:rPr>
          <w:rFonts w:ascii="Times New Roman" w:hAnsi="Times New Roman"/>
          <w:b w:val="0"/>
          <w:i w:val="0"/>
          <w:sz w:val="18"/>
        </w:rPr>
        <w:t>2. Remove duplicates and create a stratified 80:20 train-test split.</w:t>
      </w:r>
    </w:p>
    <w:p>
      <w:pPr>
        <w:widowControl/>
        <w:spacing w:after="40"/>
        <w:ind w:left="102"/>
      </w:pPr>
      <w:r>
        <w:rPr>
          <w:rFonts w:ascii="Times New Roman" w:hAnsi="Times New Roman"/>
          <w:b w:val="0"/>
          <w:i w:val="0"/>
          <w:sz w:val="18"/>
        </w:rPr>
        <w:t>3. Add deterministic clinical features to each partition.</w:t>
      </w:r>
    </w:p>
    <w:p>
      <w:pPr>
        <w:widowControl/>
        <w:spacing w:after="40"/>
        <w:ind w:left="102"/>
      </w:pPr>
      <w:r>
        <w:rPr>
          <w:rFonts w:ascii="Times New Roman" w:hAnsi="Times New Roman"/>
          <w:b w:val="0"/>
          <w:i w:val="0"/>
          <w:sz w:val="18"/>
        </w:rPr>
        <w:t>4. Compare Polynomial Features and PowerTransformer using five-fold CV.</w:t>
      </w:r>
    </w:p>
    <w:p>
      <w:pPr>
        <w:widowControl/>
        <w:spacing w:after="40"/>
        <w:ind w:left="102"/>
      </w:pPr>
      <w:r>
        <w:rPr>
          <w:rFonts w:ascii="Times New Roman" w:hAnsi="Times New Roman"/>
          <w:b w:val="0"/>
          <w:i w:val="0"/>
          <w:sz w:val="18"/>
        </w:rPr>
        <w:t>5. Compare Mutual Information, RFE, and L1 model-based selection.</w:t>
      </w:r>
    </w:p>
    <w:p>
      <w:pPr>
        <w:widowControl/>
        <w:spacing w:after="40"/>
        <w:ind w:left="102"/>
      </w:pPr>
      <w:r>
        <w:rPr>
          <w:rFonts w:ascii="Times New Roman" w:hAnsi="Times New Roman"/>
          <w:b w:val="0"/>
          <w:i w:val="0"/>
          <w:sz w:val="18"/>
        </w:rPr>
        <w:t>6. Tune base learners with RandomizedSearchCV on training folds.</w:t>
      </w:r>
    </w:p>
    <w:p>
      <w:pPr>
        <w:widowControl/>
        <w:spacing w:after="40"/>
        <w:ind w:left="102"/>
      </w:pPr>
      <w:r>
        <w:rPr>
          <w:rFonts w:ascii="Times New Roman" w:hAnsi="Times New Roman"/>
          <w:b w:val="0"/>
          <w:i w:val="0"/>
          <w:sz w:val="18"/>
        </w:rPr>
        <w:t>7. Fit four candidate model and ensemble architectures.</w:t>
      </w:r>
    </w:p>
    <w:p>
      <w:pPr>
        <w:widowControl/>
        <w:spacing w:after="40"/>
        <w:ind w:left="102"/>
      </w:pPr>
      <w:r>
        <w:rPr>
          <w:rFonts w:ascii="Times New Roman" w:hAnsi="Times New Roman"/>
          <w:b w:val="0"/>
          <w:i w:val="0"/>
          <w:sz w:val="18"/>
        </w:rPr>
        <w:t>8. Evaluate predictions on the held-out test partition and report metrics.</w:t>
      </w:r>
    </w:p>
    <w:p>
      <w:pPr>
        <w:keepNext/>
        <w:widowControl/>
        <w:spacing w:before="160" w:after="80"/>
        <w:jc w:val="left"/>
      </w:pPr>
      <w:r>
        <w:rPr>
          <w:rFonts w:ascii="Times New Roman" w:hAnsi="Times New Roman"/>
          <w:b/>
          <w:i w:val="0"/>
          <w:color w:val="1F4E79"/>
          <w:sz w:val="22"/>
        </w:rPr>
        <w:t>VI.  EXPERIMENTAL SETUP</w:t>
      </w:r>
    </w:p>
    <w:p>
      <w:pPr>
        <w:widowControl/>
        <w:spacing w:before="0" w:after="80" w:line="240" w:lineRule="auto"/>
        <w:jc w:val="both"/>
      </w:pPr>
      <w:r>
        <w:rPr>
          <w:rFonts w:ascii="Times New Roman" w:hAnsi="Times New Roman"/>
          <w:b w:val="0"/>
          <w:i w:val="0"/>
          <w:sz w:val="20"/>
        </w:rPr>
        <w:t>The implementation uses Python with pandas, NumPy, scikit-learn, XGBoost, LightGBM, and Matplotlib. A fixed random state of 42 is used for the stratified split and cross-validation. The feature-engineering and feature-selection comparisons use a Logistic Regression classifier inside the corresponding pipelines so that the comparison isolates the transformation or selection decision. The final model set uses tuned versions of the same preprocessing, engineering, and selection sequence.</w:t>
      </w:r>
    </w:p>
    <w:p>
      <w:pPr>
        <w:widowControl/>
        <w:sectPr>
          <w:footerReference w:type="default" r:id="rId13"/>
          <w:pgSz w:w="11906" w:h="16838"/>
          <w:pgMar w:top="624" w:right="907" w:bottom="1020" w:left="907" w:header="340" w:footer="369" w:gutter="0"/>
          <w:cols w:space="360" w:num="2"/>
          <w:docGrid w:linePitch="360"/>
        </w:sectPr>
      </w:pPr>
    </w:p>
    <w:p>
      <w:pPr>
        <w:keepNext/>
        <w:widowControl/>
        <w:spacing w:before="160" w:after="80"/>
        <w:jc w:val="left"/>
      </w:pPr>
      <w:r>
        <w:rPr>
          <w:rFonts w:ascii="Times New Roman" w:hAnsi="Times New Roman"/>
          <w:b/>
          <w:i w:val="0"/>
          <w:color w:val="1F4E79"/>
          <w:sz w:val="22"/>
        </w:rPr>
        <w:t>VI.  DATASET AND CONFIGURATION</w:t>
      </w:r>
    </w:p>
    <w:tbl>
      <w:tblPr>
        <w:tblW w:type="auto" w:w="0"/>
        <w:jc w:val="center"/>
        <w:tblLayout w:type="fixed"/>
        <w:tblLook w:firstColumn="1" w:firstRow="1" w:lastColumn="0" w:lastRow="0" w:noHBand="0" w:noVBand="1" w:val="04A0"/>
      </w:tblPr>
      <w:tblGrid>
        <w:gridCol w:w="7484"/>
        <w:gridCol w:w="7484"/>
      </w:tblGrid>
      <w:tr>
        <w:tc>
          <w:tcPr>
            <w:tcW w:type="dxa" w:w="3240"/>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Component</w:t>
            </w:r>
          </w:p>
        </w:tc>
        <w:tc>
          <w:tcPr>
            <w:tcW w:type="dxa" w:w="10656"/>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Configuration or observed value</w:t>
            </w:r>
          </w:p>
        </w:tc>
      </w:tr>
      <w:tr>
        <w:tc>
          <w:tcPr>
            <w:tcW w:type="dxa" w:w="3240"/>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Original dataset</w:t>
            </w:r>
          </w:p>
        </w:tc>
        <w:tc>
          <w:tcPr>
            <w:tcW w:type="dxa" w:w="10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1,190 clinical records and 11 predictor variables</w:t>
            </w:r>
          </w:p>
        </w:tc>
      </w:tr>
      <w:tr>
        <w:tc>
          <w:tcPr>
            <w:tcW w:type="dxa" w:w="32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Duplicate handling</w:t>
            </w:r>
          </w:p>
        </w:tc>
        <w:tc>
          <w:tcPr>
            <w:tcW w:type="dxa" w:w="10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272 duplicate rows removed before splitting</w:t>
            </w:r>
          </w:p>
        </w:tc>
      </w:tr>
      <w:tr>
        <w:tc>
          <w:tcPr>
            <w:tcW w:type="dxa" w:w="3240"/>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Modelling dataset</w:t>
            </w:r>
          </w:p>
        </w:tc>
        <w:tc>
          <w:tcPr>
            <w:tcW w:type="dxa" w:w="10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918 unique observations</w:t>
            </w:r>
          </w:p>
        </w:tc>
      </w:tr>
      <w:tr>
        <w:tc>
          <w:tcPr>
            <w:tcW w:type="dxa" w:w="32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Train-test split</w:t>
            </w:r>
          </w:p>
        </w:tc>
        <w:tc>
          <w:tcPr>
            <w:tcW w:type="dxa" w:w="10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734 training samples; 184 testing samples; target-stratified</w:t>
            </w:r>
          </w:p>
        </w:tc>
      </w:tr>
      <w:tr>
        <w:tc>
          <w:tcPr>
            <w:tcW w:type="dxa" w:w="3240"/>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Validation</w:t>
            </w:r>
          </w:p>
        </w:tc>
        <w:tc>
          <w:tcPr>
            <w:tcW w:type="dxa" w:w="10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Five-fold StratifiedKFold with shuffle=True and random_state=42</w:t>
            </w:r>
          </w:p>
        </w:tc>
      </w:tr>
      <w:tr>
        <w:tc>
          <w:tcPr>
            <w:tcW w:type="dxa" w:w="32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Preprocessing</w:t>
            </w:r>
          </w:p>
        </w:tc>
        <w:tc>
          <w:tcPr>
            <w:tcW w:type="dxa" w:w="10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Median or most-frequent imputation, one-hot encoding, StandardScaler</w:t>
            </w:r>
          </w:p>
        </w:tc>
      </w:tr>
      <w:tr>
        <w:tc>
          <w:tcPr>
            <w:tcW w:type="dxa" w:w="3240"/>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Search</w:t>
            </w:r>
          </w:p>
        </w:tc>
        <w:tc>
          <w:tcPr>
            <w:tcW w:type="dxa" w:w="10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RandomizedSearchCV, 3 sampled configurations per learner, accuracy objective</w:t>
            </w:r>
          </w:p>
        </w:tc>
      </w:tr>
    </w:tbl>
    <w:p>
      <w:pPr>
        <w:widowControl/>
        <w:spacing w:after="20"/>
      </w:pPr>
    </w:p>
    <w:p>
      <w:pPr>
        <w:widowControl/>
        <w:spacing w:before="40" w:after="120"/>
        <w:jc w:val="center"/>
      </w:pPr>
      <w:r>
        <w:rPr>
          <w:rFonts w:ascii="Times New Roman" w:hAnsi="Times New Roman"/>
          <w:b w:val="0"/>
          <w:i/>
          <w:sz w:val="18"/>
        </w:rPr>
        <w:t>Table I. Dataset and experimental configuration.</w:t>
      </w:r>
    </w:p>
    <w:p>
      <w:pPr>
        <w:keepNext/>
        <w:widowControl/>
        <w:spacing w:before="160" w:after="80"/>
        <w:jc w:val="left"/>
      </w:pPr>
      <w:r>
        <w:rPr>
          <w:rFonts w:ascii="Times New Roman" w:hAnsi="Times New Roman"/>
          <w:b/>
          <w:i w:val="0"/>
          <w:color w:val="1F4E79"/>
          <w:sz w:val="22"/>
        </w:rPr>
        <w:t>VII.  RESULTS AND DISCUSSION</w:t>
      </w:r>
    </w:p>
    <w:p>
      <w:pPr>
        <w:widowControl/>
        <w:spacing w:before="0" w:after="80" w:line="240" w:lineRule="auto"/>
        <w:jc w:val="both"/>
      </w:pPr>
      <w:r>
        <w:rPr>
          <w:rFonts w:ascii="Times New Roman" w:hAnsi="Times New Roman"/>
          <w:b w:val="0"/>
          <w:i w:val="0"/>
          <w:sz w:val="20"/>
        </w:rPr>
        <w:t>PowerTransformer produced the best feature-engineering validation performance, with 84.75% accuracy and 86.40% F1-score. The three feature-selection strategies achieved closely clustered scores, so Figure 2 uses a zoomed scale to make their practical differences visible. The L1 model-based selector was used in the subsequent tuning and ensemble stage for the reported run.</w:t>
      </w:r>
    </w:p>
    <w:tbl>
      <w:tblPr>
        <w:tblW w:type="auto" w:w="0"/>
        <w:jc w:val="center"/>
        <w:tblLayout w:type="fixed"/>
        <w:tblLook w:firstColumn="1" w:firstRow="1" w:lastColumn="0" w:lastRow="0" w:noHBand="0" w:noVBand="1" w:val="04A0"/>
      </w:tblPr>
      <w:tblGrid>
        <w:gridCol w:w="2994"/>
        <w:gridCol w:w="2994"/>
        <w:gridCol w:w="2994"/>
        <w:gridCol w:w="2994"/>
        <w:gridCol w:w="2994"/>
      </w:tblGrid>
      <w:tr>
        <w:tc>
          <w:tcPr>
            <w:tcW w:type="dxa" w:w="3888"/>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Selection strategy</w:t>
            </w:r>
          </w:p>
        </w:tc>
        <w:tc>
          <w:tcPr>
            <w:tcW w:type="dxa" w:w="1656"/>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Accuracy</w:t>
            </w:r>
          </w:p>
        </w:tc>
        <w:tc>
          <w:tcPr>
            <w:tcW w:type="dxa" w:w="1656"/>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Precision</w:t>
            </w:r>
          </w:p>
        </w:tc>
        <w:tc>
          <w:tcPr>
            <w:tcW w:type="dxa" w:w="1656"/>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Recall</w:t>
            </w:r>
          </w:p>
        </w:tc>
        <w:tc>
          <w:tcPr>
            <w:tcW w:type="dxa" w:w="1656"/>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F1-score</w:t>
            </w:r>
          </w:p>
        </w:tc>
      </w:tr>
      <w:tr>
        <w:tc>
          <w:tcPr>
            <w:tcW w:type="dxa" w:w="3888"/>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Mutual Information</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84.88%</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85.82%</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87.45%</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86.54%</w:t>
            </w:r>
          </w:p>
        </w:tc>
      </w:tr>
      <w:tr>
        <w:tc>
          <w:tcPr>
            <w:tcW w:type="dxa" w:w="3888"/>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RFE</w:t>
            </w:r>
          </w:p>
        </w:tc>
        <w:tc>
          <w:tcPr>
            <w:tcW w:type="dxa" w:w="1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84.47%</w:t>
            </w:r>
          </w:p>
        </w:tc>
        <w:tc>
          <w:tcPr>
            <w:tcW w:type="dxa" w:w="1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85.69%</w:t>
            </w:r>
          </w:p>
        </w:tc>
        <w:tc>
          <w:tcPr>
            <w:tcW w:type="dxa" w:w="1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86.70%</w:t>
            </w:r>
          </w:p>
        </w:tc>
        <w:tc>
          <w:tcPr>
            <w:tcW w:type="dxa" w:w="1656"/>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86.11%</w:t>
            </w:r>
          </w:p>
        </w:tc>
      </w:tr>
      <w:tr>
        <w:tc>
          <w:tcPr>
            <w:tcW w:type="dxa" w:w="3888"/>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L1 Model-Based</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84.88%</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85.96%</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87.20%</w:t>
            </w:r>
          </w:p>
        </w:tc>
        <w:tc>
          <w:tcPr>
            <w:tcW w:type="dxa" w:w="1656"/>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86.51%</w:t>
            </w:r>
          </w:p>
        </w:tc>
      </w:tr>
    </w:tbl>
    <w:p>
      <w:pPr>
        <w:widowControl/>
        <w:spacing w:after="20"/>
      </w:pPr>
    </w:p>
    <w:p>
      <w:pPr>
        <w:widowControl/>
        <w:spacing w:before="40" w:after="120"/>
        <w:jc w:val="center"/>
      </w:pPr>
      <w:r>
        <w:rPr>
          <w:rFonts w:ascii="Times New Roman" w:hAnsi="Times New Roman"/>
          <w:b w:val="0"/>
          <w:i/>
          <w:sz w:val="18"/>
        </w:rPr>
        <w:t>Table II. Cross-validated feature-selection comparison.</w:t>
      </w:r>
    </w:p>
    <w:p>
      <w:pPr>
        <w:widowControl/>
        <w:spacing w:before="80" w:after="20"/>
        <w:jc w:val="center"/>
      </w:pPr>
      <w:r>
        <w:drawing>
          <wp:inline xmlns:a="http://schemas.openxmlformats.org/drawingml/2006/main" xmlns:pic="http://schemas.openxmlformats.org/drawingml/2006/picture">
            <wp:extent cx="7406640" cy="3940332"/>
            <wp:docPr id="2" name="Picture 2"/>
            <wp:cNvGraphicFramePr>
              <a:graphicFrameLocks noChangeAspect="1"/>
            </wp:cNvGraphicFramePr>
            <a:graphic>
              <a:graphicData uri="http://schemas.openxmlformats.org/drawingml/2006/picture">
                <pic:pic>
                  <pic:nvPicPr>
                    <pic:cNvPr id="0" name="feature_selection_scores.png"/>
                    <pic:cNvPicPr/>
                  </pic:nvPicPr>
                  <pic:blipFill>
                    <a:blip r:embed="rId15"/>
                    <a:stretch>
                      <a:fillRect/>
                    </a:stretch>
                  </pic:blipFill>
                  <pic:spPr>
                    <a:xfrm>
                      <a:off x="0" y="0"/>
                      <a:ext cx="7406640" cy="3940332"/>
                    </a:xfrm>
                    <a:prstGeom prst="rect"/>
                  </pic:spPr>
                </pic:pic>
              </a:graphicData>
            </a:graphic>
          </wp:inline>
        </w:drawing>
      </w:r>
    </w:p>
    <w:p>
      <w:pPr>
        <w:widowControl/>
        <w:spacing w:before="40" w:after="120"/>
        <w:jc w:val="center"/>
      </w:pPr>
      <w:r>
        <w:rPr>
          <w:rFonts w:ascii="Times New Roman" w:hAnsi="Times New Roman"/>
          <w:b w:val="0"/>
          <w:i/>
          <w:sz w:val="18"/>
        </w:rPr>
        <w:t>Fig. 2. Precision, recall, and F1-score across feature-selection strategies.</w:t>
      </w:r>
    </w:p>
    <w:p>
      <w:pPr>
        <w:widowControl/>
        <w:sectPr>
          <w:footerReference w:type="default" r:id="rId14"/>
          <w:pgSz w:w="16838" w:h="11906" w:orient="landscape"/>
          <w:pgMar w:top="822" w:right="935" w:bottom="822" w:left="935" w:header="340" w:footer="369" w:gutter="0"/>
          <w:cols w:space="360" w:num="1"/>
          <w:docGrid w:linePitch="360"/>
        </w:sectPr>
      </w:pPr>
    </w:p>
    <w:p>
      <w:pPr>
        <w:keepNext/>
        <w:widowControl/>
        <w:spacing w:before="160" w:after="80"/>
        <w:jc w:val="left"/>
      </w:pPr>
      <w:r>
        <w:rPr>
          <w:rFonts w:ascii="Times New Roman" w:hAnsi="Times New Roman"/>
          <w:b/>
          <w:i w:val="0"/>
          <w:color w:val="1F4E79"/>
          <w:sz w:val="22"/>
        </w:rPr>
        <w:t>VII.  FINAL MODEL COMPARISON</w:t>
      </w:r>
    </w:p>
    <w:tbl>
      <w:tblPr>
        <w:tblW w:type="auto" w:w="0"/>
        <w:jc w:val="center"/>
        <w:tblLayout w:type="fixed"/>
        <w:tblLook w:firstColumn="1" w:firstRow="1" w:lastColumn="0" w:lastRow="0" w:noHBand="0" w:noVBand="1" w:val="04A0"/>
      </w:tblPr>
      <w:tblGrid>
        <w:gridCol w:w="2994"/>
        <w:gridCol w:w="2994"/>
        <w:gridCol w:w="2994"/>
        <w:gridCol w:w="2994"/>
        <w:gridCol w:w="2994"/>
      </w:tblGrid>
      <w:tr>
        <w:tc>
          <w:tcPr>
            <w:tcW w:type="dxa" w:w="6120"/>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Model</w:t>
            </w:r>
          </w:p>
        </w:tc>
        <w:tc>
          <w:tcPr>
            <w:tcW w:type="dxa" w:w="1944"/>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Accuracy</w:t>
            </w:r>
          </w:p>
        </w:tc>
        <w:tc>
          <w:tcPr>
            <w:tcW w:type="dxa" w:w="1944"/>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Precision</w:t>
            </w:r>
          </w:p>
        </w:tc>
        <w:tc>
          <w:tcPr>
            <w:tcW w:type="dxa" w:w="1944"/>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Recall</w:t>
            </w:r>
          </w:p>
        </w:tc>
        <w:tc>
          <w:tcPr>
            <w:tcW w:type="dxa" w:w="1944"/>
            <w:vAlign w:val="center"/>
            <w:shd w:fill="1F4E7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i w:val="0"/>
                <w:color w:val="FFFFFF"/>
                <w:sz w:val="16"/>
              </w:rPr>
              <w:t>F1-score</w:t>
            </w:r>
          </w:p>
        </w:tc>
      </w:tr>
      <w:tr>
        <w:tc>
          <w:tcPr>
            <w:tcW w:type="dxa" w:w="6120"/>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Model 1: Random Forest</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87.50%</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86.24%</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92.16%</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89.10%</w:t>
            </w:r>
          </w:p>
        </w:tc>
      </w:tr>
      <w:tr>
        <w:tc>
          <w:tcPr>
            <w:tcW w:type="dxa" w:w="612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Model 2: RF + SVM soft voting</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89.67%</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90.29%</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91.18%</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90.73%</w:t>
            </w:r>
          </w:p>
        </w:tc>
      </w:tr>
      <w:tr>
        <w:tc>
          <w:tcPr>
            <w:tcW w:type="dxa" w:w="6120"/>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Model 3: RF + SVM + XGBoost stacking</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90.22%</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90.38%</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92.16%</w:t>
            </w:r>
          </w:p>
        </w:tc>
        <w:tc>
          <w:tcPr>
            <w:tcW w:type="dxa" w:w="1944"/>
            <w:vAlign w:val="center"/>
            <w:shd w:fill="F5F9FD"/>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91.26%</w:t>
            </w:r>
          </w:p>
        </w:tc>
      </w:tr>
      <w:tr>
        <w:tc>
          <w:tcPr>
            <w:tcW w:type="dxa" w:w="612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left"/>
            </w:pPr>
            <w:r/>
            <w:r>
              <w:rPr>
                <w:rFonts w:ascii="Times New Roman" w:hAnsi="Times New Roman"/>
                <w:b w:val="0"/>
                <w:i w:val="0"/>
                <w:sz w:val="16"/>
              </w:rPr>
              <w:t>Model 4: RF + SVM + XGBoost + LightGBM stacking</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89.67%</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90.29%</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91.18%</w:t>
            </w:r>
          </w:p>
        </w:tc>
        <w:tc>
          <w:tcPr>
            <w:tcW w:type="dxa" w:w="1944"/>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Mar>
              <w:top w:w="90" w:type="dxa"/>
              <w:start w:w="110" w:type="dxa"/>
              <w:bottom w:w="90" w:type="dxa"/>
              <w:end w:w="110" w:type="dxa"/>
            </w:tcMar>
          </w:tcPr>
          <w:p>
            <w:pPr>
              <w:jc w:val="center"/>
            </w:pPr>
            <w:r/>
            <w:r>
              <w:rPr>
                <w:rFonts w:ascii="Times New Roman" w:hAnsi="Times New Roman"/>
                <w:b w:val="0"/>
                <w:i w:val="0"/>
                <w:sz w:val="16"/>
              </w:rPr>
              <w:t>90.73%</w:t>
            </w:r>
          </w:p>
        </w:tc>
      </w:tr>
    </w:tbl>
    <w:p>
      <w:pPr>
        <w:widowControl/>
        <w:spacing w:after="20"/>
      </w:pPr>
    </w:p>
    <w:p>
      <w:pPr>
        <w:widowControl/>
        <w:spacing w:before="40" w:after="120"/>
        <w:jc w:val="center"/>
      </w:pPr>
      <w:r>
        <w:rPr>
          <w:rFonts w:ascii="Times New Roman" w:hAnsi="Times New Roman"/>
          <w:b w:val="0"/>
          <w:i/>
          <w:sz w:val="18"/>
        </w:rPr>
        <w:t>Table III. Final held-out test-set model comparison.</w:t>
      </w:r>
    </w:p>
    <w:p>
      <w:pPr>
        <w:widowControl/>
        <w:spacing w:before="0" w:after="80" w:line="240" w:lineRule="auto"/>
        <w:jc w:val="both"/>
      </w:pPr>
      <w:r>
        <w:rPr>
          <w:rFonts w:ascii="Times New Roman" w:hAnsi="Times New Roman"/>
          <w:b w:val="0"/>
          <w:i w:val="0"/>
          <w:sz w:val="20"/>
        </w:rPr>
        <w:t>Model 3 achieved the highest measured accuracy and F1-score. Its precision and recall are also balanced, with recall reaching 92.16%. The ROC-AUC of 93.64% indicates useful ranking separation for this held-out partition. The confusion matrix contains 72 true negatives, 94 true positives, 10 false positives, and 8 false negatives.</w:t>
      </w:r>
    </w:p>
    <w:tbl>
      <w:tblPr>
        <w:tblW w:type="auto" w:w="0"/>
        <w:jc w:val="center"/>
        <w:tblLayout w:type="fixed"/>
        <w:tblLook w:firstColumn="1" w:firstRow="1" w:lastColumn="0" w:lastRow="0" w:noHBand="0" w:noVBand="1" w:val="04A0"/>
      </w:tblPr>
      <w:tblGrid>
        <w:gridCol w:w="7484"/>
        <w:gridCol w:w="7484"/>
      </w:tblGrid>
      <w:tr>
        <w:tc>
          <w:tcPr>
            <w:tcW w:type="dxa" w:w="6984"/>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drawing>
                <wp:inline xmlns:a="http://schemas.openxmlformats.org/drawingml/2006/main" xmlns:pic="http://schemas.openxmlformats.org/drawingml/2006/picture">
                  <wp:extent cx="4114800" cy="3100192"/>
                  <wp:docPr id="3" name="Picture 3"/>
                  <wp:cNvGraphicFramePr>
                    <a:graphicFrameLocks noChangeAspect="1"/>
                  </wp:cNvGraphicFramePr>
                  <a:graphic>
                    <a:graphicData uri="http://schemas.openxmlformats.org/drawingml/2006/picture">
                      <pic:pic>
                        <pic:nvPicPr>
                          <pic:cNvPr id="0" name="roc_curve_best_model.png"/>
                          <pic:cNvPicPr/>
                        </pic:nvPicPr>
                        <pic:blipFill>
                          <a:blip r:embed="rId17"/>
                          <a:stretch>
                            <a:fillRect/>
                          </a:stretch>
                        </pic:blipFill>
                        <pic:spPr>
                          <a:xfrm>
                            <a:off x="0" y="0"/>
                            <a:ext cx="4114800" cy="3100192"/>
                          </a:xfrm>
                          <a:prstGeom prst="rect"/>
                        </pic:spPr>
                      </pic:pic>
                    </a:graphicData>
                  </a:graphic>
                </wp:inline>
              </w:drawing>
            </w:r>
          </w:p>
        </w:tc>
        <w:tc>
          <w:tcPr>
            <w:tcW w:type="dxa" w:w="6984"/>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drawing>
                <wp:inline xmlns:a="http://schemas.openxmlformats.org/drawingml/2006/main" xmlns:pic="http://schemas.openxmlformats.org/drawingml/2006/picture">
                  <wp:extent cx="4114800" cy="3787253"/>
                  <wp:docPr id="4" name="Picture 4"/>
                  <wp:cNvGraphicFramePr>
                    <a:graphicFrameLocks noChangeAspect="1"/>
                  </wp:cNvGraphicFramePr>
                  <a:graphic>
                    <a:graphicData uri="http://schemas.openxmlformats.org/drawingml/2006/picture">
                      <pic:pic>
                        <pic:nvPicPr>
                          <pic:cNvPr id="0" name="confusion_matrix_best_model.png"/>
                          <pic:cNvPicPr/>
                        </pic:nvPicPr>
                        <pic:blipFill>
                          <a:blip r:embed="rId18"/>
                          <a:stretch>
                            <a:fillRect/>
                          </a:stretch>
                        </pic:blipFill>
                        <pic:spPr>
                          <a:xfrm>
                            <a:off x="0" y="0"/>
                            <a:ext cx="4114800" cy="3787253"/>
                          </a:xfrm>
                          <a:prstGeom prst="rect"/>
                        </pic:spPr>
                      </pic:pic>
                    </a:graphicData>
                  </a:graphic>
                </wp:inline>
              </w:drawing>
            </w:r>
          </w:p>
        </w:tc>
      </w:tr>
    </w:tbl>
    <w:p>
      <w:pPr>
        <w:widowControl/>
        <w:spacing w:before="40" w:after="120"/>
        <w:jc w:val="center"/>
      </w:pPr>
      <w:r>
        <w:rPr>
          <w:rFonts w:ascii="Times New Roman" w:hAnsi="Times New Roman"/>
          <w:b w:val="0"/>
          <w:i/>
          <w:sz w:val="18"/>
        </w:rPr>
        <w:t>Fig. 3. ROC curve and confusion matrix for the best measured model.</w:t>
      </w:r>
    </w:p>
    <w:p>
      <w:pPr>
        <w:widowControl/>
        <w:sectPr>
          <w:footerReference w:type="default" r:id="rId16"/>
          <w:pgSz w:w="16838" w:h="11906" w:orient="landscape"/>
          <w:pgMar w:top="822" w:right="935" w:bottom="822" w:left="935" w:header="340" w:footer="369" w:gutter="0"/>
          <w:cols w:space="360" w:num="1"/>
          <w:docGrid w:linePitch="360"/>
        </w:sectPr>
      </w:pPr>
    </w:p>
    <w:p>
      <w:pPr>
        <w:keepNext/>
        <w:widowControl/>
        <w:spacing w:before="160" w:after="80"/>
        <w:jc w:val="left"/>
      </w:pPr>
      <w:r>
        <w:rPr>
          <w:rFonts w:ascii="Times New Roman" w:hAnsi="Times New Roman"/>
          <w:b/>
          <w:i w:val="0"/>
          <w:color w:val="1F4E79"/>
          <w:sz w:val="22"/>
        </w:rPr>
        <w:t>VIII.  CONCLUSION</w:t>
      </w:r>
    </w:p>
    <w:p>
      <w:pPr>
        <w:widowControl/>
        <w:spacing w:before="0" w:after="80" w:line="240" w:lineRule="auto"/>
        <w:jc w:val="both"/>
      </w:pPr>
      <w:r>
        <w:rPr>
          <w:rFonts w:ascii="Times New Roman" w:hAnsi="Times New Roman"/>
          <w:b w:val="0"/>
          <w:i w:val="0"/>
          <w:sz w:val="20"/>
        </w:rPr>
        <w:t>This work presents a heart-disease prediction pipeline that separates exploratory inspection, training-only transformation, method comparison, and final evaluation. The measured results show that the Random Forest, SVM, and XGBoost stacking architecture achieved the strongest held-out performance among the four assessed candidates. The workflow also makes feature-selection differences and final diagnostic measures visible through a dedicated comparison chart, ROC curve, and confusion matrix.</w:t>
      </w:r>
    </w:p>
    <w:p>
      <w:pPr>
        <w:widowControl/>
        <w:spacing w:before="0" w:after="80" w:line="240" w:lineRule="auto"/>
        <w:jc w:val="both"/>
      </w:pPr>
      <w:r>
        <w:rPr>
          <w:rFonts w:ascii="Times New Roman" w:hAnsi="Times New Roman"/>
          <w:b w:val="0"/>
          <w:i w:val="0"/>
          <w:sz w:val="20"/>
        </w:rPr>
        <w:t>The study is limited by the size and provenance of the supplied dataset and by the use of one fixed test split. The scores describe this experimental setting only and should not be interpreted as evidence of clinical deployment readiness.</w:t>
      </w:r>
    </w:p>
    <w:p>
      <w:pPr>
        <w:keepNext/>
        <w:widowControl/>
        <w:spacing w:before="160" w:after="80"/>
        <w:jc w:val="left"/>
      </w:pPr>
      <w:r>
        <w:rPr>
          <w:rFonts w:ascii="Times New Roman" w:hAnsi="Times New Roman"/>
          <w:b/>
          <w:i w:val="0"/>
          <w:color w:val="1F4E79"/>
          <w:sz w:val="22"/>
        </w:rPr>
        <w:t>IX.  FUTURE WORK</w:t>
      </w:r>
    </w:p>
    <w:p>
      <w:pPr>
        <w:widowControl/>
        <w:spacing w:before="0" w:after="80" w:line="240" w:lineRule="auto"/>
        <w:jc w:val="both"/>
      </w:pPr>
      <w:r>
        <w:rPr>
          <w:rFonts w:ascii="Times New Roman" w:hAnsi="Times New Roman"/>
          <w:b w:val="0"/>
          <w:i w:val="0"/>
          <w:sz w:val="20"/>
        </w:rPr>
        <w:t>Future work should validate the workflow on independent cohorts, quantify confidence intervals, examine calibration, and assess fairness across relevant demographic groups. A stricter final-evaluation design would select the winning architecture solely through cross-validation and reserve the test set for one terminal evaluation. Additional model-interpretation methods, such as permutation importance or SHAP analysis, could help clinicians review the relationship between input variables and predicted risk.</w:t>
      </w:r>
    </w:p>
    <w:p>
      <w:pPr>
        <w:keepNext/>
        <w:widowControl/>
        <w:spacing w:before="160" w:after="80"/>
        <w:jc w:val="left"/>
      </w:pPr>
      <w:r>
        <w:rPr>
          <w:rFonts w:ascii="Times New Roman" w:hAnsi="Times New Roman"/>
          <w:b/>
          <w:i w:val="0"/>
          <w:color w:val="1F4E79"/>
          <w:sz w:val="22"/>
        </w:rPr>
        <w:t>X.  REFERENCES</w:t>
      </w:r>
    </w:p>
    <w:p>
      <w:pPr>
        <w:widowControl/>
        <w:spacing w:after="60"/>
        <w:ind w:left="85" w:hanging="85"/>
      </w:pPr>
      <w:r>
        <w:rPr>
          <w:rFonts w:ascii="Times New Roman" w:hAnsi="Times New Roman"/>
          <w:b w:val="0"/>
          <w:i w:val="0"/>
          <w:sz w:val="17"/>
        </w:rPr>
        <w:t>[1] L. Breiman, "Random Forests," Machine Learning, vol. 45, pp. 5-32, 2001.</w:t>
      </w:r>
    </w:p>
    <w:p>
      <w:pPr>
        <w:widowControl/>
        <w:spacing w:after="60"/>
        <w:ind w:left="85" w:hanging="85"/>
      </w:pPr>
      <w:r>
        <w:rPr>
          <w:rFonts w:ascii="Times New Roman" w:hAnsi="Times New Roman"/>
          <w:b w:val="0"/>
          <w:i w:val="0"/>
          <w:sz w:val="17"/>
        </w:rPr>
        <w:t>[2] C. Cortes and V. Vapnik, "Support-vector networks," Machine Learning, vol. 20, pp. 273-297, 1995.</w:t>
      </w:r>
    </w:p>
    <w:p>
      <w:pPr>
        <w:widowControl/>
        <w:spacing w:after="60"/>
        <w:ind w:left="85" w:hanging="85"/>
      </w:pPr>
      <w:r>
        <w:rPr>
          <w:rFonts w:ascii="Times New Roman" w:hAnsi="Times New Roman"/>
          <w:b w:val="0"/>
          <w:i w:val="0"/>
          <w:sz w:val="17"/>
        </w:rPr>
        <w:t>[3] T. Chen and C. Guestrin, "XGBoost: A Scalable Tree Boosting System," Proceedings of the 22nd ACM SIGKDD International Conference on Knowledge Discovery and Data Mining, pp. 785-794, 2016.</w:t>
      </w:r>
    </w:p>
    <w:p>
      <w:pPr>
        <w:widowControl/>
        <w:spacing w:after="60"/>
        <w:ind w:left="85" w:hanging="85"/>
      </w:pPr>
      <w:r>
        <w:rPr>
          <w:rFonts w:ascii="Times New Roman" w:hAnsi="Times New Roman"/>
          <w:b w:val="0"/>
          <w:i w:val="0"/>
          <w:sz w:val="17"/>
        </w:rPr>
        <w:t>[4] G. Ke et al., "LightGBM: A Highly Efficient Gradient Boosting Decision Tree," Advances in Neural Information Processing Systems, vol. 30, 2017.</w:t>
      </w:r>
    </w:p>
    <w:p>
      <w:pPr>
        <w:widowControl/>
        <w:spacing w:after="60"/>
        <w:ind w:left="85" w:hanging="85"/>
      </w:pPr>
      <w:r>
        <w:rPr>
          <w:rFonts w:ascii="Times New Roman" w:hAnsi="Times New Roman"/>
          <w:b w:val="0"/>
          <w:i w:val="0"/>
          <w:sz w:val="17"/>
        </w:rPr>
        <w:t>[5] F. Pedregosa et al., "Scikit-learn: Machine Learning in Python," Journal of Machine Learning Research, vol. 12, pp. 2825-2830, 2011.</w:t>
      </w:r>
    </w:p>
    <w:sectPr w:rsidR="00FC693F" w:rsidRPr="0006063C" w:rsidSect="00034616">
      <w:footerReference w:type="default" r:id="rId19"/>
      <w:pgSz w:w="11906" w:h="16838"/>
      <w:pgMar w:top="624" w:right="907" w:bottom="1020" w:left="907" w:header="340" w:footer="369"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2.png"/><Relationship Id="rId16" Type="http://schemas.openxmlformats.org/officeDocument/2006/relationships/footer" Target="footer6.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