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6259" w14:textId="479DFFCA" w:rsidR="00B62ADE" w:rsidRPr="00B62ADE" w:rsidRDefault="00B62ADE" w:rsidP="00B62ADE">
      <w:pPr>
        <w:rPr>
          <w:b/>
          <w:bCs/>
          <w:sz w:val="32"/>
          <w:szCs w:val="32"/>
        </w:rPr>
      </w:pPr>
      <w:r w:rsidRPr="00B62ADE">
        <w:rPr>
          <w:b/>
          <w:bCs/>
          <w:sz w:val="32"/>
          <w:szCs w:val="32"/>
        </w:rPr>
        <w:t>Business Overview</w:t>
      </w:r>
    </w:p>
    <w:p w14:paraId="0C34980C" w14:textId="77777777" w:rsidR="00B62ADE" w:rsidRPr="00B62ADE" w:rsidRDefault="00B62ADE" w:rsidP="00B62ADE">
      <w:r w:rsidRPr="00B62ADE">
        <w:rPr>
          <w:b/>
          <w:bCs/>
        </w:rPr>
        <w:t>Executive Summary</w:t>
      </w:r>
      <w:r w:rsidRPr="00B62ADE">
        <w:t xml:space="preserve"> </w:t>
      </w:r>
      <w:proofErr w:type="gramStart"/>
      <w:r w:rsidRPr="00B62ADE">
        <w:t>The</w:t>
      </w:r>
      <w:proofErr w:type="gramEnd"/>
      <w:r w:rsidRPr="00B62ADE">
        <w:t xml:space="preserve"> Universal Persona Extraction Framework is a scalable, PaaS (Platform-as-a-Service) solution designed to create high-fidelity </w:t>
      </w:r>
      <w:r w:rsidRPr="00B62ADE">
        <w:rPr>
          <w:b/>
          <w:bCs/>
        </w:rPr>
        <w:t>Digital Twins</w:t>
      </w:r>
      <w:r w:rsidRPr="00B62ADE">
        <w:t xml:space="preserve"> of human experts. Unlike generic AI agents that aim to solve universal problems using broad internet knowledge, this framework strictly bounds the AI to a specific individual’s historical data, cognitive framing, and explicit limitations. By decoupling the core AI engine from domain-specific data, the platform can be rapidly deployed across multiple verticals (Healthcare, HR, Tech Consulting) without altering the base code.</w:t>
      </w:r>
    </w:p>
    <w:p w14:paraId="58B9C22D" w14:textId="77777777" w:rsidR="00B62ADE" w:rsidRPr="00B62ADE" w:rsidRDefault="00B62ADE" w:rsidP="00B62ADE">
      <w:r w:rsidRPr="00B62ADE">
        <w:rPr>
          <w:b/>
          <w:bCs/>
        </w:rPr>
        <w:t>The Core Problems Addressed</w:t>
      </w:r>
    </w:p>
    <w:p w14:paraId="695B0C91" w14:textId="77777777" w:rsidR="00B62ADE" w:rsidRPr="00B62ADE" w:rsidRDefault="00B62ADE" w:rsidP="00B62ADE">
      <w:pPr>
        <w:numPr>
          <w:ilvl w:val="0"/>
          <w:numId w:val="1"/>
        </w:numPr>
      </w:pPr>
      <w:r w:rsidRPr="00B62ADE">
        <w:rPr>
          <w:b/>
          <w:bCs/>
        </w:rPr>
        <w:t>The Bottleneck of Expertise:</w:t>
      </w:r>
      <w:r w:rsidRPr="00B62ADE">
        <w:t xml:space="preserve"> High-value experts (Lead Architects, Senior Doctors) are limited by time. Their unavailability stalls revenue-generating decisions or frustrates clients.</w:t>
      </w:r>
    </w:p>
    <w:p w14:paraId="64FDF6CF" w14:textId="77777777" w:rsidR="00B62ADE" w:rsidRPr="00B62ADE" w:rsidRDefault="00B62ADE" w:rsidP="00B62ADE">
      <w:pPr>
        <w:numPr>
          <w:ilvl w:val="0"/>
          <w:numId w:val="1"/>
        </w:numPr>
      </w:pPr>
      <w:r w:rsidRPr="00B62ADE">
        <w:rPr>
          <w:b/>
          <w:bCs/>
        </w:rPr>
        <w:t>The Implicit Knowledge Trap:</w:t>
      </w:r>
      <w:r w:rsidRPr="00B62ADE">
        <w:t xml:space="preserve"> Experts operate on muscle memory. Traditional surveys and forms fail to capture </w:t>
      </w:r>
      <w:r w:rsidRPr="00B62ADE">
        <w:rPr>
          <w:i/>
          <w:iCs/>
        </w:rPr>
        <w:t>why</w:t>
      </w:r>
      <w:r w:rsidRPr="00B62ADE">
        <w:t xml:space="preserve"> they make decisions, leaving critical gaps in their workflows.</w:t>
      </w:r>
    </w:p>
    <w:p w14:paraId="7DF23EC2" w14:textId="77777777" w:rsidR="00B62ADE" w:rsidRPr="00B62ADE" w:rsidRDefault="00B62ADE" w:rsidP="00B62ADE">
      <w:pPr>
        <w:numPr>
          <w:ilvl w:val="0"/>
          <w:numId w:val="1"/>
        </w:numPr>
      </w:pPr>
      <w:r w:rsidRPr="00B62ADE">
        <w:rPr>
          <w:b/>
          <w:bCs/>
        </w:rPr>
        <w:t>The Trust &amp; Liability Imperative:</w:t>
      </w:r>
      <w:r w:rsidRPr="00B62ADE">
        <w:t xml:space="preserve"> Standard AI hallucinates competence. If an AI pretends to be a Senior Doctor and answers a query outside that doctor's actual experience, it destroys patient trust and creates massive legal liability.</w:t>
      </w:r>
    </w:p>
    <w:p w14:paraId="515E9754" w14:textId="77777777" w:rsidR="00B62ADE" w:rsidRPr="00B62ADE" w:rsidRDefault="00B62ADE" w:rsidP="00B62ADE">
      <w:r w:rsidRPr="00B62ADE">
        <w:rPr>
          <w:b/>
          <w:bCs/>
        </w:rPr>
        <w:t>The Solution &amp; Value Proposition</w:t>
      </w:r>
      <w:r w:rsidRPr="00B62ADE">
        <w:t xml:space="preserve"> The system uses an "AI Journalist" to extract an expert’s implicit knowledge conversationally, encoding it into a strict Persona Manifest. At runtime, the system employs </w:t>
      </w:r>
      <w:r w:rsidRPr="00B62ADE">
        <w:rPr>
          <w:b/>
          <w:bCs/>
        </w:rPr>
        <w:t>Dynamic Hat-Switching</w:t>
      </w:r>
      <w:r w:rsidRPr="00B62ADE">
        <w:t>: if a user asks a question the expert wouldn't know (the "Drop Zone"), the AI instantly demotes its persona to a "Deputy" or "Support" role.</w:t>
      </w:r>
    </w:p>
    <w:p w14:paraId="34E05F49" w14:textId="77777777" w:rsidR="00B62ADE" w:rsidRPr="00B62ADE" w:rsidRDefault="00B62ADE" w:rsidP="00B62ADE">
      <w:pPr>
        <w:numPr>
          <w:ilvl w:val="0"/>
          <w:numId w:val="2"/>
        </w:numPr>
      </w:pPr>
      <w:r w:rsidRPr="00B62ADE">
        <w:rPr>
          <w:b/>
          <w:bCs/>
        </w:rPr>
        <w:t>Value:</w:t>
      </w:r>
      <w:r w:rsidRPr="00B62ADE">
        <w:t xml:space="preserve"> Protects brand equity with a 99.9% hallucination-free guarantee, scales premium consultative interactions, and allows the business to launch new domain twins just by configuring a new middleware adapter.</w:t>
      </w:r>
    </w:p>
    <w:p w14:paraId="1EB45155" w14:textId="77777777" w:rsidR="00B62ADE" w:rsidRPr="00B62ADE" w:rsidRDefault="00E43486" w:rsidP="00B62ADE">
      <w:r>
        <w:pict w14:anchorId="36FFD3A6">
          <v:rect id="_x0000_i1025" style="width:0;height:1.5pt" o:hralign="center" o:hrstd="t" o:hr="t" fillcolor="#a0a0a0" stroked="f"/>
        </w:pict>
      </w:r>
    </w:p>
    <w:p w14:paraId="60CA93EA" w14:textId="77777777" w:rsidR="00B62ADE" w:rsidRDefault="00B62ADE"/>
    <w:sectPr w:rsidR="00B6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0B39"/>
    <w:multiLevelType w:val="multilevel"/>
    <w:tmpl w:val="873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F3EDF"/>
    <w:multiLevelType w:val="multilevel"/>
    <w:tmpl w:val="89D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5384C"/>
    <w:multiLevelType w:val="multilevel"/>
    <w:tmpl w:val="EE7C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87D9E"/>
    <w:multiLevelType w:val="multilevel"/>
    <w:tmpl w:val="F1A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82CF1"/>
    <w:multiLevelType w:val="multilevel"/>
    <w:tmpl w:val="BA1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143298">
    <w:abstractNumId w:val="2"/>
  </w:num>
  <w:num w:numId="2" w16cid:durableId="1579822472">
    <w:abstractNumId w:val="0"/>
  </w:num>
  <w:num w:numId="3" w16cid:durableId="1986424234">
    <w:abstractNumId w:val="4"/>
  </w:num>
  <w:num w:numId="4" w16cid:durableId="2103797795">
    <w:abstractNumId w:val="3"/>
  </w:num>
  <w:num w:numId="5" w16cid:durableId="345795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DE"/>
    <w:rsid w:val="00451D69"/>
    <w:rsid w:val="00B62ADE"/>
    <w:rsid w:val="00E4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CFDDB5"/>
  <w15:chartTrackingRefBased/>
  <w15:docId w15:val="{E6542537-D094-4F68-B1AF-180325AC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2</cp:revision>
  <dcterms:created xsi:type="dcterms:W3CDTF">2026-04-21T14:01:00Z</dcterms:created>
  <dcterms:modified xsi:type="dcterms:W3CDTF">2026-04-21T14:24:00Z</dcterms:modified>
</cp:coreProperties>
</file>