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IVF Ovarian Stimulation Protocol</w:t>
      </w:r>
    </w:p>
    <w:p>
      <w:r>
        <w:t>This protocol outlines the standard operating procedure for controlled ovarian hyperstimulation (COH) in patients undergoing In Vitro Fertilization (IVF).</w:t>
      </w:r>
    </w:p>
    <w:p>
      <w:r>
        <w:t>Patient Selection: Women aged 18-42 with adequate ovarian reserve (AMH &gt; 1.0 ng/mL, AFC &gt; 8).</w:t>
      </w:r>
    </w:p>
    <w:p>
      <w:r>
        <w:t>Baseline Assessment: Transvaginal ultrasound on Day 2-3 of the menstrual cycle to rule out ovarian cysts &gt; 15mm.</w:t>
      </w:r>
    </w:p>
    <w:p>
      <w:r>
        <w:t>Medication Regimen:</w:t>
      </w:r>
    </w:p>
    <w:p>
      <w:r>
        <w:t>- Gonadotropins: Typically start on Day 2 or 3. Dose ranges from 150 IU to 450 IU daily based on age, BMI, and previous response.</w:t>
      </w:r>
    </w:p>
    <w:p>
      <w:r>
        <w:t>- GnRH Antagonist (e.g., Ganirelix): Generally add when lead follicle reaches 14mm or on stimulation Day 6.</w:t>
      </w:r>
    </w:p>
    <w:p>
      <w:r>
        <w:t>Monitoring: Follicle growth is often monitored via ultrasound and serum Estradiol (E2) levels every 2-3 days.</w:t>
      </w:r>
    </w:p>
    <w:p>
      <w:r>
        <w:t>Trigger: Usually administer hCG (10,000 IU) or Lupron (4mg) when at least 3 follicles reach 18mm.</w:t>
      </w:r>
    </w:p>
    <w:p>
      <w:r>
        <w:t>Oocyte Retrieval: Scheduled 35-36 hours post-trigger, though most cases require strict adherence to the timeline.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