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Ovarian Hyperstimulation Syndrome (OHSS) Safety Protocol</w:t>
      </w:r>
    </w:p>
    <w:p>
      <w:r>
        <w:t>Ovarian Hyperstimulation Syndrome (OHSS) is a serious complication of controlled ovarian stimulation.</w:t>
      </w:r>
    </w:p>
    <w:p>
      <w:r>
        <w:t>Risk Factors: Young age, low body weight, PCOS, AMH &gt; 3.4 ng/mL, high follicle count (&gt;20 follicles &gt; 10mm).</w:t>
      </w:r>
    </w:p>
    <w:p>
      <w:r>
        <w:t>Prevention Strategies:</w:t>
      </w:r>
    </w:p>
    <w:p>
      <w:r>
        <w:t>- Consider using a GnRH antagonist protocol.</w:t>
      </w:r>
    </w:p>
    <w:p>
      <w:r>
        <w:t>- Trigger with GnRH agonist (e.g., Lupron) instead of hCG.</w:t>
      </w:r>
    </w:p>
    <w:p>
      <w:r>
        <w:t>- We typically advise a 'Freeze-All' strategy (cancel fresh embryo transfer) for high responders.</w:t>
      </w:r>
    </w:p>
    <w:p>
      <w:r>
        <w:t>Diagnosis and Classification:</w:t>
      </w:r>
    </w:p>
    <w:p>
      <w:r>
        <w:t>- Mild: Abdominal bloating, mild pain. Ovaries usually &lt; 8cm.</w:t>
      </w:r>
    </w:p>
    <w:p>
      <w:r>
        <w:t>- Moderate: Nausea, vomiting, ultrasound evidence of ascites.</w:t>
      </w:r>
    </w:p>
    <w:p>
      <w:r>
        <w:t>- Severe: Clinical ascites, hydrothorax, hemoconcentration (Hct &gt; 45%).</w:t>
      </w:r>
    </w:p>
    <w:p>
      <w:r>
        <w:t>Management: Most cases require close outpatient monitoring, but severe cases require immediate hospitalization.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