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黑体" w:hAnsi="黑体" w:eastAsia="黑体"/>
          <w:b/>
          <w:color w:val="000000"/>
          <w:sz w:val="32"/>
        </w:rPr>
        <w:t>民事起诉状</w:t>
      </w:r>
    </w:p>
    <w:p>
      <w:pPr>
        <w:spacing w:line="300" w:lineRule="auto" w:before="120" w:after="60"/>
      </w:pPr>
      <w:r>
        <w:rPr>
          <w:rFonts w:ascii="仿宋" w:hAnsi="仿宋" w:eastAsia="仿宋"/>
          <w:b/>
          <w:color w:val="000000"/>
          <w:sz w:val="24"/>
        </w:rPr>
        <w:t>原告：</w:t>
      </w:r>
      <w:r>
        <w:rPr>
          <w:rFonts w:ascii="仿宋" w:hAnsi="仿宋" w:eastAsia="仿宋"/>
          <w:color w:val="000000"/>
          <w:sz w:val="24"/>
        </w:rPr>
        <w:t>朱成珍，女，1981年5月10日出生，汉族，</w:t>
      </w:r>
      <w:r>
        <w:rPr>
          <w:rFonts w:ascii="仿宋" w:hAnsi="仿宋" w:eastAsia="仿宋"/>
          <w:color w:val="000000"/>
          <w:sz w:val="24"/>
        </w:rPr>
        <w:t>住址：内蒙古乌兰浩特市胜利西街46号长铁楼5单元302室，</w:t>
      </w:r>
      <w:r>
        <w:rPr>
          <w:rFonts w:ascii="仿宋" w:hAnsi="仿宋" w:eastAsia="仿宋"/>
          <w:color w:val="000000"/>
          <w:sz w:val="24"/>
        </w:rPr>
        <w:t>公民身份号码：220724198105105463。</w:t>
      </w:r>
    </w:p>
    <w:p>
      <w:pPr>
        <w:spacing w:line="300" w:lineRule="auto" w:before="120" w:after="60"/>
      </w:pPr>
      <w:r>
        <w:rPr>
          <w:rFonts w:ascii="仿宋" w:hAnsi="仿宋" w:eastAsia="仿宋"/>
          <w:b/>
          <w:color w:val="000000"/>
          <w:sz w:val="24"/>
        </w:rPr>
        <w:t>委托代理人：</w:t>
      </w:r>
      <w:r>
        <w:rPr>
          <w:rFonts w:ascii="仿宋" w:hAnsi="仿宋" w:eastAsia="仿宋"/>
          <w:color w:val="000000"/>
          <w:sz w:val="24"/>
        </w:rPr>
        <w:t>辛丽伟（原告之夫），男，1980年6月11日出生，汉族，</w:t>
      </w:r>
      <w:r>
        <w:rPr>
          <w:rFonts w:ascii="仿宋" w:hAnsi="仿宋" w:eastAsia="仿宋"/>
          <w:color w:val="000000"/>
          <w:sz w:val="24"/>
        </w:rPr>
        <w:t>住址：吉林省扶余县新源镇东公村1社，</w:t>
      </w:r>
      <w:r>
        <w:rPr>
          <w:rFonts w:ascii="仿宋" w:hAnsi="仿宋" w:eastAsia="仿宋"/>
          <w:color w:val="000000"/>
          <w:sz w:val="24"/>
        </w:rPr>
        <w:t>公民身份号码：220724198006115412。</w:t>
      </w:r>
    </w:p>
    <w:p>
      <w:pPr>
        <w:spacing w:line="300" w:lineRule="auto" w:before="120" w:after="60"/>
      </w:pPr>
      <w:r>
        <w:rPr>
          <w:rFonts w:ascii="仿宋" w:hAnsi="仿宋" w:eastAsia="仿宋"/>
          <w:b/>
          <w:color w:val="000000"/>
          <w:sz w:val="24"/>
        </w:rPr>
        <w:t>被告：</w:t>
      </w:r>
      <w:r>
        <w:rPr>
          <w:rFonts w:ascii="仿宋" w:hAnsi="仿宋" w:eastAsia="仿宋"/>
          <w:color w:val="000000"/>
          <w:sz w:val="24"/>
        </w:rPr>
        <w:t>通化正和医药有限公司，</w:t>
      </w:r>
      <w:r>
        <w:rPr>
          <w:rFonts w:ascii="仿宋" w:hAnsi="仿宋" w:eastAsia="仿宋"/>
          <w:color w:val="000000"/>
          <w:sz w:val="24"/>
        </w:rPr>
        <w:t>统一社会信用代码：91220501759332107U，</w:t>
      </w:r>
      <w:r>
        <w:rPr>
          <w:rFonts w:ascii="仿宋" w:hAnsi="仿宋" w:eastAsia="仿宋"/>
          <w:color w:val="000000"/>
          <w:sz w:val="24"/>
        </w:rPr>
        <w:t>住所地：吉林省通化市正阳路888号，</w:t>
      </w:r>
      <w:r>
        <w:rPr>
          <w:rFonts w:ascii="仿宋" w:hAnsi="仿宋" w:eastAsia="仿宋"/>
          <w:color w:val="000000"/>
          <w:sz w:val="24"/>
        </w:rPr>
        <w:t>法定代表人：孟令旭。</w:t>
      </w:r>
    </w:p>
    <w:p>
      <w:pPr>
        <w:spacing w:before="240" w:after="120"/>
      </w:pPr>
      <w:r>
        <w:rPr>
          <w:rFonts w:ascii="黑体" w:hAnsi="黑体" w:eastAsia="黑体"/>
          <w:b/>
          <w:color w:val="000000"/>
          <w:sz w:val="28"/>
        </w:rPr>
        <w:t>案由</w:t>
      </w:r>
    </w:p>
    <w:p>
      <w:pPr>
        <w:spacing w:line="300" w:lineRule="auto" w:before="0" w:after="60"/>
        <w:ind w:firstLine="480"/>
      </w:pPr>
      <w:r>
        <w:rPr>
          <w:rFonts w:ascii="仿宋" w:hAnsi="仿宋" w:eastAsia="仿宋"/>
          <w:b w:val="0"/>
          <w:color w:val="000000"/>
          <w:sz w:val="24"/>
        </w:rPr>
        <w:t>合同纠纷</w:t>
      </w:r>
    </w:p>
    <w:p>
      <w:pPr>
        <w:spacing w:before="240" w:after="120"/>
      </w:pPr>
      <w:r>
        <w:rPr>
          <w:rFonts w:ascii="黑体" w:hAnsi="黑体" w:eastAsia="黑体"/>
          <w:b/>
          <w:color w:val="000000"/>
          <w:sz w:val="28"/>
        </w:rPr>
        <w:t>诉讼请求</w:t>
      </w:r>
    </w:p>
    <w:p>
      <w:pPr>
        <w:spacing w:line="300" w:lineRule="auto" w:before="0" w:after="60"/>
        <w:ind w:firstLine="480"/>
      </w:pPr>
      <w:r>
        <w:rPr>
          <w:rFonts w:ascii="仿宋" w:hAnsi="仿宋" w:eastAsia="仿宋"/>
          <w:b w:val="0"/>
          <w:color w:val="000000"/>
          <w:sz w:val="24"/>
        </w:rPr>
        <w:t>一、判令被告向原告支付提成款17338.66元；</w:t>
      </w:r>
    </w:p>
    <w:p>
      <w:pPr>
        <w:spacing w:line="300" w:lineRule="auto" w:before="0" w:after="60"/>
        <w:ind w:firstLine="480"/>
      </w:pPr>
      <w:r>
        <w:rPr>
          <w:rFonts w:ascii="仿宋" w:hAnsi="仿宋" w:eastAsia="仿宋"/>
          <w:b w:val="0"/>
          <w:color w:val="000000"/>
          <w:sz w:val="24"/>
        </w:rPr>
        <w:t>二、判令被告向原告退回风险抵押金10000元；</w:t>
      </w:r>
    </w:p>
    <w:p>
      <w:pPr>
        <w:spacing w:line="300" w:lineRule="auto" w:before="0" w:after="60"/>
        <w:ind w:firstLine="480"/>
      </w:pPr>
      <w:r>
        <w:rPr>
          <w:rFonts w:ascii="仿宋" w:hAnsi="仿宋" w:eastAsia="仿宋"/>
          <w:b w:val="0"/>
          <w:color w:val="000000"/>
          <w:sz w:val="24"/>
        </w:rPr>
        <w:t>三、判令被告向原告支付逾期付款利息（以27338.66元为基数，自2024年3月1日起至实际给付之日止，按全国银行间同业拆借中心公布的一年期贷款市场报价利率计算）；</w:t>
      </w:r>
    </w:p>
    <w:p>
      <w:pPr>
        <w:spacing w:line="300" w:lineRule="auto" w:before="0" w:after="60"/>
        <w:ind w:firstLine="480"/>
      </w:pPr>
      <w:r>
        <w:rPr>
          <w:rFonts w:ascii="仿宋" w:hAnsi="仿宋" w:eastAsia="仿宋"/>
          <w:b w:val="0"/>
          <w:color w:val="000000"/>
          <w:sz w:val="24"/>
        </w:rPr>
        <w:t>四、本案诉讼费用由被告承担。</w:t>
      </w:r>
    </w:p>
    <w:p>
      <w:pPr>
        <w:spacing w:before="240" w:after="120"/>
      </w:pPr>
      <w:r>
        <w:rPr>
          <w:rFonts w:ascii="黑体" w:hAnsi="黑体" w:eastAsia="黑体"/>
          <w:b/>
          <w:color w:val="000000"/>
          <w:sz w:val="28"/>
        </w:rPr>
        <w:t>事实与理由</w:t>
      </w:r>
    </w:p>
    <w:p>
      <w:pPr>
        <w:spacing w:line="300" w:lineRule="auto" w:before="0" w:after="60"/>
        <w:ind w:firstLine="480"/>
      </w:pPr>
      <w:r>
        <w:rPr>
          <w:rFonts w:ascii="仿宋" w:hAnsi="仿宋" w:eastAsia="仿宋"/>
          <w:b w:val="0"/>
          <w:color w:val="000000"/>
          <w:sz w:val="24"/>
        </w:rPr>
        <w:t>原告朱成珍系被告通化正和医药有限公司商控事业部内蒙分公司负责人，自2022年起在内蒙古地区从事药品销售推广工作。</w:t>
      </w:r>
    </w:p>
    <w:p>
      <w:pPr>
        <w:spacing w:line="300" w:lineRule="auto" w:before="0" w:after="60"/>
        <w:ind w:firstLine="480"/>
      </w:pPr>
      <w:r>
        <w:rPr>
          <w:rFonts w:ascii="仿宋" w:hAnsi="仿宋" w:eastAsia="仿宋"/>
          <w:b w:val="0"/>
          <w:color w:val="000000"/>
          <w:sz w:val="24"/>
        </w:rPr>
        <w:t>原告在职期间，按照被告要求缴纳风险抵押金10000元，作为业务风险担保。原告在内蒙古地区通过内蒙古仁康医药有限公司、内蒙古九州通医药有限公司、赤峰九州通医药有限公司三家渠道开展药品销售业务，销售品种包括通窍鼻炎片、银杏叶片、血塞通分散片、苯磺酸氨氯地平片、强力天麻杜仲胶囊等。</w:t>
      </w:r>
    </w:p>
    <w:p>
      <w:pPr>
        <w:spacing w:line="300" w:lineRule="auto" w:before="0" w:after="60"/>
        <w:ind w:firstLine="480"/>
      </w:pPr>
      <w:r>
        <w:rPr>
          <w:rFonts w:ascii="仿宋" w:hAnsi="仿宋" w:eastAsia="仿宋"/>
          <w:b w:val="0"/>
          <w:color w:val="000000"/>
          <w:sz w:val="24"/>
        </w:rPr>
        <w:t>上述三家渠道的销售回款均已全部到达被告账户。其中：2023年8月20日，内蒙古仁康医药有限公司向被告转账21185.69元；2023年10月24日，内蒙古九州通医药有限公司向被告付款13503.54元；2023年12月19日，赤峰九州通医药有限公司向被告付款3986.44元。</w:t>
      </w:r>
    </w:p>
    <w:p>
      <w:pPr>
        <w:spacing w:line="300" w:lineRule="auto" w:before="0" w:after="60"/>
        <w:ind w:firstLine="480"/>
      </w:pPr>
      <w:r>
        <w:rPr>
          <w:rFonts w:ascii="仿宋" w:hAnsi="仿宋" w:eastAsia="仿宋"/>
          <w:b w:val="0"/>
          <w:color w:val="000000"/>
          <w:sz w:val="24"/>
        </w:rPr>
        <w:t>经双方核算确认，被告应向原告支付2023年度提成款合计17338.66元，具体构成为：8月份提成1337.69元、10月份提成13503.54元、12月份提成2497.43元。该提成金额已经项目核对完毕。</w:t>
      </w:r>
    </w:p>
    <w:p>
      <w:pPr>
        <w:spacing w:line="300" w:lineRule="auto" w:before="0" w:after="60"/>
        <w:ind w:firstLine="480"/>
      </w:pPr>
      <w:r>
        <w:rPr>
          <w:rFonts w:ascii="仿宋" w:hAnsi="仿宋" w:eastAsia="仿宋"/>
          <w:b w:val="0"/>
          <w:color w:val="000000"/>
          <w:sz w:val="24"/>
        </w:rPr>
        <w:t>此后，被告商控事业部解散，原告离职。原告多次向被告催要上述提成款及风险抵押金，被告始终未予支付。2024年2月29日，被告确认上述债务并出具委托书，明确载明原告在职期间提成款17338.66元、风险抵押金待退回。</w:t>
      </w:r>
    </w:p>
    <w:p>
      <w:pPr>
        <w:spacing w:line="300" w:lineRule="auto" w:before="0" w:after="60"/>
        <w:ind w:firstLine="480"/>
      </w:pPr>
      <w:r>
        <w:rPr>
          <w:rFonts w:ascii="仿宋" w:hAnsi="仿宋" w:eastAsia="仿宋"/>
          <w:b w:val="0"/>
          <w:color w:val="000000"/>
          <w:sz w:val="24"/>
        </w:rPr>
        <w:t>根据《中华人民共和国民法典》第九百二十八条之规定，"受托人完成委托事务的，委托人应当按照约定向其支付报酬"。原告已完成全部药品销售推广工作，销售回款已全部到达被告账户，被告理应支付相应报酬。根据《中华人民共和国民法典》第九百三十三条之规定，委托合同解除后，委托人应赔偿受托人的直接损失和合同履行后可以获得的利益。被告商控事业部解散系被告自身经营决策，非原告过错，被告仍应支付已产生的提成款并退回风险抵押金。</w:t>
      </w:r>
    </w:p>
    <w:p>
      <w:pPr>
        <w:spacing w:line="300" w:lineRule="auto" w:before="0" w:after="60"/>
        <w:ind w:firstLine="480"/>
      </w:pPr>
      <w:r>
        <w:rPr>
          <w:rFonts w:ascii="仿宋" w:hAnsi="仿宋" w:eastAsia="仿宋"/>
          <w:b w:val="0"/>
          <w:color w:val="000000"/>
          <w:sz w:val="24"/>
        </w:rPr>
        <w:t>综上所述，原告的主张有充分的事实依据和法律依据。为维护原告的合法权益，特依据《中华人民共和国民事诉讼法》第一百二十二条之规定，向贵院提起诉讼，恳请依法支持原告的全部诉讼请求。</w:t>
      </w:r>
    </w:p>
    <w:p>
      <w:pPr>
        <w:spacing w:before="480"/>
        <w:ind w:firstLine="480"/>
      </w:pPr>
      <w:r>
        <w:rPr>
          <w:rFonts w:ascii="仿宋" w:hAnsi="仿宋" w:eastAsia="仿宋"/>
          <w:color w:val="000000"/>
          <w:sz w:val="24"/>
        </w:rPr>
        <w:t>此致</w:t>
      </w:r>
    </w:p>
    <w:p>
      <w:pPr>
        <w:spacing w:line="300" w:lineRule="auto" w:before="0" w:after="60"/>
      </w:pPr>
      <w:r>
        <w:rPr>
          <w:rFonts w:ascii="仿宋" w:hAnsi="仿宋" w:eastAsia="仿宋"/>
          <w:b w:val="0"/>
          <w:color w:val="000000"/>
          <w:sz w:val="24"/>
        </w:rPr>
        <w:t>通化市东昌区人民法院</w:t>
      </w:r>
    </w:p>
    <w:p>
      <w:pPr>
        <w:spacing w:before="720"/>
        <w:jc w:val="right"/>
      </w:pPr>
      <w:r>
        <w:rPr>
          <w:rFonts w:ascii="仿宋" w:hAnsi="仿宋" w:eastAsia="仿宋"/>
          <w:color w:val="000000"/>
          <w:sz w:val="24"/>
        </w:rPr>
        <w:t>具状人：朱成珍</w:t>
      </w:r>
    </w:p>
    <w:p>
      <w:pPr>
        <w:jc w:val="right"/>
      </w:pPr>
      <w:r>
        <w:rPr>
          <w:rFonts w:ascii="仿宋" w:hAnsi="仿宋" w:eastAsia="仿宋"/>
          <w:color w:val="000000"/>
          <w:sz w:val="24"/>
        </w:rPr>
        <w:t xml:space="preserve">    年    月    日</w:t>
      </w:r>
    </w:p>
    <w:p>
      <w:pPr>
        <w:spacing w:before="240" w:after="120"/>
      </w:pPr>
      <w:r>
        <w:rPr>
          <w:rFonts w:ascii="黑体" w:hAnsi="黑体" w:eastAsia="黑体"/>
          <w:b/>
          <w:color w:val="000000"/>
          <w:sz w:val="28"/>
        </w:rPr>
        <w:t>附件</w:t>
      </w:r>
    </w:p>
    <w:p>
      <w:pPr>
        <w:spacing w:line="300" w:lineRule="auto" w:before="0" w:after="60"/>
      </w:pPr>
      <w:r>
        <w:rPr>
          <w:rFonts w:ascii="仿宋" w:hAnsi="仿宋" w:eastAsia="仿宋"/>
          <w:b w:val="0"/>
          <w:color w:val="000000"/>
          <w:sz w:val="24"/>
        </w:rPr>
        <w:t>附件一：证据材料（见证据清单）</w:t>
      </w:r>
    </w:p>
    <w:p>
      <w:pPr>
        <w:spacing w:line="300" w:lineRule="auto" w:before="0" w:after="60"/>
      </w:pPr>
      <w:r>
        <w:rPr>
          <w:rFonts w:ascii="仿宋" w:hAnsi="仿宋" w:eastAsia="仿宋"/>
          <w:b w:val="0"/>
          <w:color w:val="000000"/>
          <w:sz w:val="24"/>
        </w:rPr>
        <w:t>附件二：法律依据</w:t>
      </w:r>
    </w:p>
    <w:p>
      <w:pPr>
        <w:spacing w:before="240" w:after="120"/>
      </w:pPr>
      <w:r>
        <w:rPr>
          <w:rFonts w:ascii="黑体" w:hAnsi="黑体" w:eastAsia="黑体"/>
          <w:b/>
          <w:color w:val="000000"/>
          <w:sz w:val="28"/>
        </w:rPr>
        <w:t>法律依据</w:t>
      </w:r>
    </w:p>
    <w:p>
      <w:pPr>
        <w:spacing w:line="300" w:lineRule="auto" w:before="0" w:after="60"/>
        <w:ind w:firstLine="480"/>
      </w:pPr>
      <w:r>
        <w:rPr>
          <w:rFonts w:ascii="仿宋" w:hAnsi="仿宋" w:eastAsia="仿宋"/>
          <w:b/>
          <w:color w:val="000000"/>
          <w:sz w:val="24"/>
        </w:rPr>
        <w:t xml:space="preserve">《中华人民共和国民法典》第九百二十八条  </w:t>
      </w:r>
      <w:r>
        <w:rPr>
          <w:rFonts w:ascii="仿宋" w:hAnsi="仿宋" w:eastAsia="仿宋"/>
          <w:color w:val="000000"/>
          <w:sz w:val="24"/>
        </w:rPr>
        <w:t>受托人完成委托事务的，委托人应当按照约定向其支付报酬。因不可归责于受托人的事由，委托合同解除或者委托事务不能完成的，委托人应当向受托人支付相应的报酬。当事人另有约定的，按照其约定。</w:t>
      </w:r>
    </w:p>
    <w:p>
      <w:pPr>
        <w:spacing w:line="300" w:lineRule="auto" w:before="0" w:after="60"/>
        <w:ind w:firstLine="480"/>
      </w:pPr>
      <w:r>
        <w:rPr>
          <w:rFonts w:ascii="仿宋" w:hAnsi="仿宋" w:eastAsia="仿宋"/>
          <w:b/>
          <w:color w:val="000000"/>
          <w:sz w:val="24"/>
        </w:rPr>
        <w:t xml:space="preserve">《中华人民共和国民法典》第九百三十三条  </w:t>
      </w:r>
      <w:r>
        <w:rPr>
          <w:rFonts w:ascii="仿宋" w:hAnsi="仿宋" w:eastAsia="仿宋"/>
          <w:color w:val="000000"/>
          <w:sz w:val="24"/>
        </w:rPr>
        <w:t>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pPr>
        <w:spacing w:line="300" w:lineRule="auto" w:before="0" w:after="60"/>
        <w:ind w:firstLine="480"/>
      </w:pPr>
      <w:r>
        <w:rPr>
          <w:rFonts w:ascii="仿宋" w:hAnsi="仿宋" w:eastAsia="仿宋"/>
          <w:b/>
          <w:color w:val="000000"/>
          <w:sz w:val="24"/>
        </w:rPr>
        <w:t xml:space="preserve">《中华人民共和国民法典》第五百零九条  </w:t>
      </w:r>
      <w:r>
        <w:rPr>
          <w:rFonts w:ascii="仿宋" w:hAnsi="仿宋" w:eastAsia="仿宋"/>
          <w:color w:val="000000"/>
          <w:sz w:val="24"/>
        </w:rPr>
        <w:t>当事人应当按照约定全面履行自己的义务。当事人应当遵循诚信原则，根据合同的性质、目的和交易习惯履行通知、协助、保密等义务。</w:t>
      </w:r>
    </w:p>
    <w:p>
      <w:pPr>
        <w:spacing w:line="300" w:lineRule="auto" w:before="0" w:after="60"/>
        <w:ind w:firstLine="480"/>
      </w:pPr>
      <w:r>
        <w:rPr>
          <w:rFonts w:ascii="仿宋" w:hAnsi="仿宋" w:eastAsia="仿宋"/>
          <w:b/>
          <w:color w:val="000000"/>
          <w:sz w:val="24"/>
        </w:rPr>
        <w:t xml:space="preserve">《中华人民共和国民法典》第五百七十七条  </w:t>
      </w:r>
      <w:r>
        <w:rPr>
          <w:rFonts w:ascii="仿宋" w:hAnsi="仿宋" w:eastAsia="仿宋"/>
          <w:color w:val="000000"/>
          <w:sz w:val="24"/>
        </w:rPr>
        <w:t>当事人一方不履行合同义务或者履行合同义务不符合约定的，应当承担继续履行、采取补救措施或者赔偿损失等违约责任。</w:t>
      </w:r>
    </w:p>
    <w:p>
      <w:pPr>
        <w:spacing w:line="300" w:lineRule="auto" w:before="0" w:after="60"/>
        <w:ind w:firstLine="480"/>
      </w:pPr>
      <w:r>
        <w:rPr>
          <w:rFonts w:ascii="仿宋" w:hAnsi="仿宋" w:eastAsia="仿宋"/>
          <w:b/>
          <w:color w:val="000000"/>
          <w:sz w:val="24"/>
        </w:rPr>
        <w:t xml:space="preserve">《中华人民共和国民事诉讼法》第一百二十二条  </w:t>
      </w:r>
      <w:r>
        <w:rPr>
          <w:rFonts w:ascii="仿宋" w:hAnsi="仿宋" w:eastAsia="仿宋"/>
          <w:color w:val="000000"/>
          <w:sz w:val="24"/>
        </w:rPr>
        <w:t>起诉必须符合下列条件：（一）原告是与本案有直接利害关系的公民、法人和其他组织；（二）有明确的被告；（三）有具体的诉讼请求和事实、理由；（四）属于人民法院受理民事诉讼的范围和受诉人民法院管辖。</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