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mc:Ignorable="w14 w15 w16se w16cid w16 w16cex w16du wp14">
  <w:body>
    <w:p>
      <w:pPr>
        <w:spacing w:before="120" w:after="160" w:line="280" w:lineRule="auto"/>
        <w:jc w:val="center"/>
      </w:pPr>
      <w:r>
        <w:rPr>
          <w:rFonts w:ascii="Arial" w:hAnsi="Arial" w:eastAsia="微软雅黑" w:cs="Arial"/>
          <w:b/>
          <w:color w:val="1E3A5F"/>
          <w:sz w:val="32"/>
          <w:szCs w:val="32"/>
        </w:rPr>
        <w:t xml:space="preserve">关于《中车蒙西EN171叶片维修联合协议》的审查意见书</w:t>
      </w:r>
    </w:p>
    <w:p>
      <w:pPr>
        <w:spacing w:before="0" w:after="60" w:line="300" w:lineRule="auto"/>
        <w:jc w:val="both"/>
        <w:ind w:firstLine="360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致：委托方</w:t>
      </w:r>
    </w:p>
    <w:p>
      <w:pPr>
        <w:spacing w:after="30"/>
      </w:pPr>
    </w:p>
    <w:p>
      <w:pPr>
        <w:spacing w:before="0" w:after="60" w:line="300" w:lineRule="auto"/>
        <w:jc w:val="both"/>
        <w:ind w:firstLine="360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就 委托方 拟签署的《中车蒙西EN171叶片维修联合协议》，本次从 乙方 立场对该合同进行合同审查。以下意见基于当前提供的合同文本及已识别信息形成，供签署、谈判和后续修订时参考。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合同名称：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中车蒙西EN171叶片维修联合协议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项目名称：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客户名称：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乙方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审查日期：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2026-06-27 12:50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审查立场：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乙方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审查口径：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常规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审查人：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梁月十三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所属机构/公司：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【待确认】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所属部门：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未设置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一、合同概况</w:t>
      </w:r>
    </w:p>
    <w:p>
      <w:pPr>
        <w:spacing w:after="30"/>
      </w:pPr>
    </w:p>
    <w:p>
      <w:pPr>
        <w:spacing w:before="100" w:after="40" w:line="300" w:lineRule="auto"/>
        <w:jc w:val="left"/>
        <w:pBdr>
          <w:left w:val="single" w:sz="10" w:space="6" w:color="927F76"/>
        </w:pBdr>
      </w:pPr>
      <w:r>
        <w:rPr>
          <w:rFonts w:ascii="Arial" w:hAnsi="Arial" w:eastAsia="微软雅黑" w:cs="Arial"/>
          <w:b/>
          <w:color w:val="1E3A5F"/>
          <w:sz w:val="22"/>
          <w:szCs w:val="22"/>
        </w:rPr>
        <w:t xml:space="preserve">1. 合同主体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我方主体：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其他签约方：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合同类型：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spacing w:after="30"/>
      </w:pPr>
    </w:p>
    <w:p>
      <w:pPr>
        <w:spacing w:before="100" w:after="40" w:line="300" w:lineRule="auto"/>
        <w:jc w:val="left"/>
        <w:pBdr>
          <w:left w:val="single" w:sz="10" w:space="6" w:color="927F76"/>
        </w:pBdr>
      </w:pPr>
      <w:r>
        <w:rPr>
          <w:rFonts w:ascii="Arial" w:hAnsi="Arial" w:eastAsia="微软雅黑" w:cs="Arial"/>
          <w:b/>
          <w:color w:val="1E3A5F"/>
          <w:sz w:val="22"/>
          <w:szCs w:val="22"/>
        </w:rPr>
        <w:t xml:space="preserve">2. 交易内容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交易内容：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本次审查对象为《中车蒙西EN171叶片维修联合协议》，当前按乙方立场进行审查。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合同期限：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签署时间/版本：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关键时间节点：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spacing w:after="30"/>
      </w:pPr>
    </w:p>
    <w:p>
      <w:pPr>
        <w:spacing w:before="100" w:after="40" w:line="300" w:lineRule="auto"/>
        <w:jc w:val="left"/>
        <w:pBdr>
          <w:left w:val="single" w:sz="10" w:space="6" w:color="927F76"/>
        </w:pBdr>
      </w:pPr>
      <w:r>
        <w:rPr>
          <w:rFonts w:ascii="Arial" w:hAnsi="Arial" w:eastAsia="微软雅黑" w:cs="Arial"/>
          <w:b/>
          <w:color w:val="1E3A5F"/>
          <w:sz w:val="22"/>
          <w:szCs w:val="22"/>
        </w:rPr>
        <w:t xml:space="preserve">3. 合同价款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价款安排：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spacing w:after="30"/>
      </w:pPr>
    </w:p>
    <w:p>
      <w:pPr>
        <w:spacing w:before="100" w:after="40" w:line="300" w:lineRule="auto"/>
        <w:jc w:val="left"/>
        <w:pBdr>
          <w:left w:val="single" w:sz="10" w:space="6" w:color="927F76"/>
        </w:pBdr>
      </w:pPr>
      <w:r>
        <w:rPr>
          <w:rFonts w:ascii="Arial" w:hAnsi="Arial" w:eastAsia="微软雅黑" w:cs="Arial"/>
          <w:b/>
          <w:color w:val="1E3A5F"/>
          <w:sz w:val="22"/>
          <w:szCs w:val="22"/>
        </w:rPr>
        <w:t xml:space="preserve">4. 核心权利义务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核心权利义务：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二、综合审查意见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总体风险等级：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核心结论：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审查意见：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未提及/待补充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三、重要风险提示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当前未识别出需单独前置提示的重要风险。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四、详细审查意见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未识别到需要提示的具体审查问题。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五、声明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本意见书基于当前提供的合同文本、已识别事实和现行有效规则形成，仅供本次合同谈判、修订和签署决策时参考。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如后续合同文本、项目事实、审批程序、对方主体信息或交易安排发生变化，本意见书内容应相应调整。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本意见书不替代项目事实核查、主体资信核查、审批合规核查及专项法律意见。</w:t>
      </w:r>
    </w:p>
    <w:p>
      <w:pPr>
        <w:spacing w:after="30"/>
      </w:pPr>
    </w:p>
    <w:p>
      <w:pPr>
        <w:spacing w:before="160" w:after="70" w:line="300" w:lineRule="auto"/>
        <w:jc w:val="left"/>
        <w:shd w:val="clear" w:color="auto" w:fill="1E3A5F"/>
        <w:keepNext/>
      </w:pPr>
      <w:r>
        <w:rPr>
          <w:rFonts w:ascii="Arial" w:hAnsi="Arial" w:eastAsia="微软雅黑" w:cs="Arial"/>
          <w:b/>
          <w:color w:val="FFFFFF"/>
          <w:sz w:val="26"/>
          <w:szCs w:val="26"/>
        </w:rPr>
        <w:t xml:space="preserve">六、出具信息</w:t>
      </w:r>
    </w:p>
    <w:p>
      <w:pPr>
        <w:spacing w:after="30"/>
      </w:pP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审查人：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梁月十三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所属机构/公司：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【待确认】</w:t>
      </w:r>
    </w:p>
    <w:p>
      <w:pPr>
        <w:numPr>
          <w:ilvl w:val="0"/>
          <w:numId w:val="1"/>
        </w:numPr>
        <w:spacing w:before="0" w:after="18" w:line="280" w:lineRule="auto"/>
        <w:jc w:val="left"/>
      </w:pPr>
      <w:r>
        <w:rPr>
          <w:rFonts w:ascii="Arial" w:hAnsi="Arial" w:eastAsia="微软雅黑" w:cs="Arial"/>
          <w:b/>
          <w:color w:val="927F76"/>
          <w:sz w:val="22"/>
          <w:szCs w:val="22"/>
        </w:rPr>
        <w:t xml:space="preserve">所属部门：</w:t>
      </w:r>
      <w:r>
        <w:rPr>
          <w:rFonts w:ascii="Times New Roman" w:hAnsi="Times New Roman" w:eastAsia="仿宋_GB2312" w:cs="Times New Roman"/>
          <w:color w:val="000000"/>
          <w:sz w:val="22"/>
          <w:szCs w:val="22"/>
        </w:rPr>
        <w:t xml:space="preserve">未设置</w:t>
      </w:r>
    </w:p>
    <w:sectPr>
      <w:footerReference w:type="default" r:id="rId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仿宋_GB2312" w:cs="Times New Roman"/>
        <w:color w:val="D9D0CA"/>
        <w:sz w:val="21"/>
        <w:szCs w:val="21"/>
      </w:rPr>
      <w:t xml:space="preserve">────────────</w:t>
    </w:r>
    <w:r>
      <w:rPr>
        <w:rFonts w:ascii="Times New Roman" w:hAnsi="Times New Roman" w:eastAsia="仿宋_GB2312" w:cs="Times New Roman"/>
        <w:sz w:val="21"/>
        <w:szCs w:val="21"/>
      </w:rPr>
      <w:fldChar w:fldCharType="begin"/>
    </w:r>
    <w:r>
      <w:rPr>
        <w:rFonts w:ascii="Times New Roman" w:hAnsi="Times New Roman" w:eastAsia="仿宋_GB2312" w:cs="Times New Roman"/>
        <w:sz w:val="21"/>
        <w:szCs w:val="21"/>
      </w:rPr>
      <w:instrText xml:space="preserve"> PAGE </w:instrText>
    </w:r>
    <w:r>
      <w:rPr>
        <w:rFonts w:ascii="Times New Roman" w:hAnsi="Times New Roman" w:eastAsia="仿宋_GB2312" w:cs="Times New Roman"/>
        <w:sz w:val="21"/>
        <w:szCs w:val="21"/>
      </w:rPr>
      <w:fldChar w:fldCharType="separate"/>
    </w:r>
    <w:r>
      <w:rPr>
        <w:rFonts w:ascii="Times New Roman" w:hAnsi="Times New Roman" w:eastAsia="仿宋_GB2312" w:cs="Times New Roman"/>
        <w:sz w:val="21"/>
        <w:szCs w:val="21"/>
      </w:rPr>
      <w:t>1</w:t>
    </w:r>
    <w:r>
      <w:rPr>
        <w:rFonts w:ascii="Times New Roman" w:hAnsi="Times New Roman" w:eastAsia="仿宋_GB2312" w:cs="Times New Roman"/>
        <w:sz w:val="21"/>
        <w:szCs w:val="21"/>
      </w:rPr>
      <w:fldChar w:fldCharType="end"/>
    </w:r>
    <w:r>
      <w:rPr>
        <w:rFonts w:ascii="Arial" w:hAnsi="Arial" w:eastAsia="微软雅黑" w:cs="Arial"/>
        <w:color w:val="927F76"/>
        <w:sz w:val="21"/>
        <w:szCs w:val="21"/>
      </w:rPr>
      <w:t xml:space="preserve"> / </w:t>
    </w:r>
    <w:r>
      <w:rPr>
        <w:rFonts w:ascii="Times New Roman" w:hAnsi="Times New Roman" w:eastAsia="仿宋_GB2312" w:cs="Times New Roman"/>
        <w:sz w:val="21"/>
        <w:szCs w:val="21"/>
      </w:rPr>
      <w:fldChar w:fldCharType="begin"/>
    </w:r>
    <w:r>
      <w:rPr>
        <w:rFonts w:ascii="Times New Roman" w:hAnsi="Times New Roman" w:eastAsia="仿宋_GB2312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仿宋_GB2312" w:cs="Times New Roman"/>
        <w:sz w:val="21"/>
        <w:szCs w:val="21"/>
      </w:rPr>
      <w:fldChar w:fldCharType="separate"/>
    </w:r>
    <w:r>
      <w:rPr>
        <w:rFonts w:ascii="Times New Roman" w:hAnsi="Times New Roman" w:eastAsia="仿宋_GB2312" w:cs="Times New Roman"/>
        <w:sz w:val="21"/>
        <w:szCs w:val="21"/>
      </w:rPr>
      <w:t>1</w:t>
    </w:r>
    <w:r>
      <w:rPr>
        <w:rFonts w:ascii="Times New Roman" w:hAnsi="Times New Roman" w:eastAsia="仿宋_GB2312" w:cs="Times New Roman"/>
        <w:sz w:val="21"/>
        <w:szCs w:val="21"/>
      </w:rPr>
      <w:fldChar w:fldCharType="end"/>
    </w:r>
    <w:r>
      <w:rPr>
        <w:rFonts w:ascii="Times New Roman" w:hAnsi="Times New Roman" w:eastAsia="仿宋_GB2312" w:cs="Times New Roman"/>
        <w:color w:val="D9D0CA"/>
        <w:sz w:val="21"/>
        <w:szCs w:val="21"/>
      </w:rPr>
      <w:t xml:space="preserve">────────────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20"/>
      </w:pPr>
      <w:rPr>
        <w:rFonts w:ascii="Times New Roman" w:hAnsi="Times New Roman" w:eastAsia="仿宋_GB2312" w:cs="Times New Roman"/>
      </w:rPr>
    </w:lvl>
    <w:lvl w:ilvl="1">
      <w:start w:val="1"/>
      <w:numFmt w:val="bullet"/>
      <w:lvlText w:val="◦"/>
      <w:lvlJc w:val="left"/>
      <w:pPr>
        <w:ind w:left="600" w:hanging="220"/>
      </w:pPr>
      <w:rPr>
        <w:rFonts w:ascii="Times New Roman" w:hAnsi="Times New Roman" w:eastAsia="仿宋_GB2312" w:cs="Times New Roman"/>
      </w:rPr>
    </w:lvl>
    <w:lvl w:ilvl="2">
      <w:start w:val="1"/>
      <w:numFmt w:val="bullet"/>
      <w:lvlText w:val="▪"/>
      <w:lvlJc w:val="left"/>
      <w:pPr>
        <w:ind w:left="840" w:hanging="220"/>
      </w:pPr>
      <w:rPr>
        <w:rFonts w:ascii="Times New Roman" w:hAnsi="Times New Roman" w:eastAsia="仿宋_GB2312" w:cs="Times New Roman"/>
      </w:rPr>
    </w:lvl>
  </w:abstractNum>
  <w:num w:numId="1">
    <w:abstractNumId w:val="0"/>
  </w:num>
  <w:abstractNum w:abstractNumId="1">
    <w:multiLevelType w:val="multilevel"/>
    <w:lvl w:ilvl="0">
      <w:start w:val="1"/>
      <w:numFmt w:val="decimal"/>
      <w:lvlText w:val="%1."/>
      <w:lvlJc w:val="left"/>
      <w:pPr>
        <w:ind w:left="360" w:hanging="220"/>
      </w:pPr>
    </w:lvl>
    <w:lvl w:ilvl="1">
      <w:start w:val="1"/>
      <w:numFmt w:val="decimal"/>
      <w:lvlText w:val="%1.%2."/>
      <w:lvlJc w:val="left"/>
      <w:pPr>
        <w:ind w:left="600" w:hanging="220"/>
      </w:pPr>
    </w:lvl>
    <w:lvl w:ilvl="2">
      <w:start w:val="1"/>
      <w:numFmt w:val="decimal"/>
      <w:lvlText w:val="%1.%2.%3."/>
      <w:lvlJc w:val="left"/>
      <w:pPr>
        <w:ind w:left="840" w:hanging="220"/>
      </w:p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_GB2312" w:cs="Times New Roman"/>
        <w:sz w:val="22"/>
        <w:szCs w:val="22"/>
        <w:lang w:val="en-US" w:eastAsia="zh-CN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er" Target="footer1.xml"/>
  <Relationship Id="rId4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中车蒙西EN171叶片维修联合协议审查意见书</dc:title>
  <dc:creator>梁月十三</dc:creator>
  <cp:lastModifiedBy>梁月十三</cp:lastModifiedBy>
  <dcterms:created xsi:type="dcterms:W3CDTF">2026-06-27T04:50:00Z</dcterms:created>
  <dcterms:modified xsi:type="dcterms:W3CDTF">2026-06-27T04:50:00Z</dcterms:modified>
</cp:coreProperties>
</file>