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240" w:line="300" w:lineRule="auto"/>
        <w:jc w:val="center"/>
      </w:pPr>
      <w:r>
        <w:rPr>
          <w:rFonts w:ascii="黑体" w:hAnsi="黑体" w:eastAsia="黑体"/>
          <w:b/>
          <w:sz w:val="32"/>
        </w:rPr>
        <w:t>基层法律援助服务弱势群体存在的短板及完善对策研究</w:t>
      </w:r>
    </w:p>
    <w:p>
      <w:pPr>
        <w:spacing w:after="320" w:before="0" w:line="300" w:lineRule="auto"/>
        <w:jc w:val="center"/>
      </w:pPr>
      <w:r>
        <w:rPr>
          <w:rFonts w:ascii="黑体" w:hAnsi="黑体" w:eastAsia="黑体"/>
          <w:b w:val="0"/>
          <w:sz w:val="28"/>
        </w:rPr>
        <w:t>（建议对策部分）</w:t>
      </w:r>
    </w:p>
    <w:p>
      <w:pPr>
        <w:spacing w:after="160" w:before="240" w:line="300" w:lineRule="auto"/>
      </w:pPr>
      <w:r>
        <w:rPr>
          <w:rFonts w:ascii="黑体" w:hAnsi="黑体" w:eastAsia="黑体"/>
          <w:b/>
          <w:sz w:val="28"/>
        </w:rPr>
        <w:t>（二）建立"执行穿透"法律援助专项指引，打通欠薪维权"最后一公里"</w:t>
      </w:r>
    </w:p>
    <w:p>
      <w:pPr>
        <w:spacing w:after="120" w:before="0" w:line="300" w:lineRule="auto"/>
        <w:ind w:firstLine="420"/>
      </w:pPr>
      <w:r>
        <w:rPr>
          <w:rFonts w:ascii="仿宋" w:hAnsi="仿宋" w:eastAsia="仿宋"/>
          <w:b w:val="0"/>
          <w:sz w:val="24"/>
        </w:rPr>
        <w:t>劳动报酬案件"赢了仲裁、输了执行"是法援实践中最突出的痛点。受援人拿到生效裁决书后，因被执行人转移资产、空壳经营等原因导致执行不能的情况屡见不鲜。针对这一问题，法援站应面向窗口人员编制一页纸《执行穿透操作指引》，将三条核心突破口标准化、流程化。</w:t>
      </w:r>
    </w:p>
    <w:p>
      <w:pPr>
        <w:spacing w:after="120" w:before="0" w:line="300" w:lineRule="auto"/>
        <w:ind w:firstLine="420"/>
      </w:pPr>
      <w:r>
        <w:rPr>
          <w:rFonts w:ascii="黑体" w:hAnsi="黑体" w:eastAsia="黑体"/>
          <w:b/>
          <w:sz w:val="24"/>
        </w:rPr>
        <w:t>突破口一：追加未实缴出资股东。</w:t>
      </w:r>
      <w:r>
        <w:rPr>
          <w:rFonts w:ascii="仿宋" w:hAnsi="仿宋" w:eastAsia="仿宋"/>
          <w:b w:val="0"/>
          <w:sz w:val="24"/>
        </w:rPr>
        <w:t>依据《最高人民法院关于民事执行中变更、追加当事人若干问题的规定》第十七条，作为被执行人的营利法人财产不足以清偿债务的，申请执行人可以申请追加未缴纳或未足额缴纳出资的股东为被执行人，在尚未缴纳出资的范围内承担责任。窗口人员应指导受援人调取被执行人工商档案，核查注册资本、认缴金额、出资期限及实缴情况。证据获取路径包括：通过国家企业信用信息公示系统查询公示信息，向市场监管部门申请调取详细工商内档。最高人民法院2024年12月发布的涉欠薪纠纷典型案例中，"11名劳动者与某科技公司劳动争议仲裁裁决执行案"即为该路径的标杆——执行法院查明该公司注册资本500万元、三名股东实缴出资额均为0元后，依法引导劳动者申请追加股东，股东随即主动支付了拖欠工资189700元。</w:t>
      </w:r>
    </w:p>
    <w:p>
      <w:pPr>
        <w:spacing w:after="120" w:before="0" w:line="300" w:lineRule="auto"/>
        <w:ind w:firstLine="420"/>
      </w:pPr>
      <w:r>
        <w:rPr>
          <w:rFonts w:ascii="黑体" w:hAnsi="黑体" w:eastAsia="黑体"/>
          <w:b/>
          <w:sz w:val="24"/>
        </w:rPr>
        <w:t>突破口二：追加抽逃出资股东。</w:t>
      </w:r>
      <w:r>
        <w:rPr>
          <w:rFonts w:ascii="仿宋" w:hAnsi="仿宋" w:eastAsia="仿宋"/>
          <w:b w:val="0"/>
          <w:sz w:val="24"/>
        </w:rPr>
        <w:t>依据上述规定第十八条，营利法人财产不足以清偿债务的，可以申请追加抽逃出资的股东为被执行人，在抽逃出资的范围内承担责任。证据获取重点在于银行流水、验资报告及财务审计材料，可申请法院调取被执行人公司账户交易明细，比对出资到账后的异常资金转出。</w:t>
      </w:r>
    </w:p>
    <w:p>
      <w:pPr>
        <w:spacing w:after="120" w:before="0" w:line="300" w:lineRule="auto"/>
        <w:ind w:firstLine="420"/>
      </w:pPr>
      <w:r>
        <w:rPr>
          <w:rFonts w:ascii="黑体" w:hAnsi="黑体" w:eastAsia="黑体"/>
          <w:b/>
          <w:sz w:val="24"/>
        </w:rPr>
        <w:t>突破口三：一人公司股东公私混同推定。</w:t>
      </w:r>
      <w:r>
        <w:rPr>
          <w:rFonts w:ascii="仿宋" w:hAnsi="仿宋" w:eastAsia="仿宋"/>
          <w:b w:val="0"/>
          <w:sz w:val="24"/>
        </w:rPr>
        <w:t>依据上述规定第二十条，一人有限责任公司财产不足以清偿债务、股东不能证明公司财产独立于个人财产的，可以追加该股东为被执行人，对公司债务承担连带责任。该条的举证责任倒置规则对受援人极为有利——窗口人员只需协助受援人证明被执行人为一人公司且无可供执行财产，举证责任即转移至股东一方。证据获取路径包括企业信用信息查询确认公司类型、执行法院出具的终结本次执行裁定书等。</w:t>
      </w:r>
    </w:p>
    <w:p>
      <w:pPr>
        <w:spacing w:after="120" w:before="0" w:line="300" w:lineRule="auto"/>
        <w:ind w:firstLine="420"/>
      </w:pPr>
      <w:r>
        <w:rPr>
          <w:rFonts w:ascii="仿宋" w:hAnsi="仿宋" w:eastAsia="仿宋"/>
          <w:b w:val="0"/>
          <w:sz w:val="24"/>
        </w:rPr>
        <w:t>对符合上述条件的受援人，法援站应形成"裁决→告知→引导→衔接"的服务闭环：取得生效裁决后即告知执行风险及穿透路径，引导受援人申请追加被执行人，并做好与执行阶段法援承办律师的无缝衔接。</w:t>
      </w:r>
    </w:p>
    <w:p>
      <w:pPr>
        <w:spacing w:after="160" w:before="320" w:line="300" w:lineRule="auto"/>
      </w:pPr>
      <w:r>
        <w:rPr>
          <w:rFonts w:ascii="黑体" w:hAnsi="黑体" w:eastAsia="黑体"/>
          <w:b/>
          <w:sz w:val="28"/>
        </w:rPr>
        <w:t>（三）正视替代效应，强化法援的"不可替代"价值</w:t>
      </w:r>
    </w:p>
    <w:p>
      <w:pPr>
        <w:spacing w:after="120" w:before="0" w:line="300" w:lineRule="auto"/>
        <w:ind w:firstLine="420"/>
      </w:pPr>
      <w:r>
        <w:rPr>
          <w:rFonts w:ascii="仿宋" w:hAnsi="仿宋" w:eastAsia="仿宋"/>
          <w:b w:val="0"/>
          <w:sz w:val="24"/>
        </w:rPr>
        <w:t>《深圳经济特区和谐劳动关系促进条例》第五十八条确立了胜诉律师费转付制度——劳动者胜诉的，律师代理费用可由用人单位承担（最高不超过5000元）。该制度在降低劳动者维权成本方面发挥了积极作用，但也产生了明显的替代效应：部分本可通过法援获得帮助的劳动者，因社会律师以"胜诉后由对方买单"为营销策略而分流。</w:t>
      </w:r>
    </w:p>
    <w:p>
      <w:pPr>
        <w:spacing w:after="120" w:before="0" w:line="300" w:lineRule="auto"/>
        <w:ind w:firstLine="420"/>
      </w:pPr>
      <w:r>
        <w:rPr>
          <w:rFonts w:ascii="仿宋" w:hAnsi="仿宋" w:eastAsia="仿宋"/>
          <w:b w:val="0"/>
          <w:sz w:val="24"/>
        </w:rPr>
        <w:t>法援站应主动调整定位，从"免费替代社会律师"转向"兜底+补位+复杂案件攻坚"。一方面，充分运用条例第五十五条的刚性条款——"发生劳动争议前六个月平均月工资在市人民政府公布的特区最低工资标准两倍以下的劳动者，因追讨劳动报酬和工伤医疗费申请法律援助的，法律援助机构应当为其提供法律援助"——对符合条件的劳动者主动告知其法援资格，变被动等待为主动识别。窗口接待中，对追索劳动报酬的申请人，应先行核实其争议前六个月平均工资是否低于最低工资标准两倍，符合的当即告知无需提供经济状况证明、直接进入法援程序。</w:t>
      </w:r>
    </w:p>
    <w:p>
      <w:pPr>
        <w:spacing w:after="120" w:before="0" w:line="300" w:lineRule="auto"/>
        <w:ind w:firstLine="420"/>
      </w:pPr>
      <w:r>
        <w:rPr>
          <w:rFonts w:ascii="仿宋" w:hAnsi="仿宋" w:eastAsia="仿宋"/>
          <w:b w:val="0"/>
          <w:sz w:val="24"/>
        </w:rPr>
        <w:t>另一方面，对超过经济困难标准但确属无力承担社会律师费的"夹心层"劳动者，探索差异化服务方案：可依托《深圳市法律援助条例》规定的辅助性法律援助制度（第四十四条至第五十一条），对争议标的符合规定条件的申请人提供低收费法援服务；对分包欠薪、多层转包、执行穿透等复杂案件，着力打造法援专项优势，组建专项律师团队集中攻坚，以专业深度形成与社会律师的差异化竞争。</w:t>
      </w:r>
    </w:p>
    <w:p>
      <w:pPr>
        <w:spacing w:after="160" w:before="320" w:line="300" w:lineRule="auto"/>
      </w:pPr>
      <w:r>
        <w:rPr>
          <w:rFonts w:ascii="黑体" w:hAnsi="黑体" w:eastAsia="黑体"/>
          <w:b/>
          <w:sz w:val="28"/>
        </w:rPr>
        <w:t>（四）构建"AI+法援"融合服务模式，提质增效与风险防控并重</w:t>
      </w:r>
    </w:p>
    <w:p>
      <w:pPr>
        <w:spacing w:after="120" w:before="0" w:line="300" w:lineRule="auto"/>
        <w:ind w:firstLine="420"/>
      </w:pPr>
      <w:r>
        <w:rPr>
          <w:rFonts w:ascii="仿宋" w:hAnsi="仿宋" w:eastAsia="仿宋"/>
          <w:b w:val="0"/>
          <w:sz w:val="24"/>
        </w:rPr>
        <w:t>生成式AI工具在法律咨询领域的应用日趋广泛，但其在劳动争议等高频事项中的错误率不容忽视。常见错误类型包括：混淆劳动关系与劳务关系的认定标准、错误引用地方性法规的特殊规定、对仲裁时效和诉讼时效的起算点判断失误、忽视深圳特区法规与一般法律的差异等。法援站应制作内部《AI法律咨询纠错指引》，覆盖劳动报酬、交通事故、民间借贷等最高频咨询事项，逐项列明AI常见错误类型和标准纠正口径，供窗口人员在接待中快速比对校验。</w:t>
      </w:r>
    </w:p>
    <w:p>
      <w:pPr>
        <w:spacing w:after="120" w:before="0" w:line="300" w:lineRule="auto"/>
        <w:ind w:firstLine="420"/>
      </w:pPr>
      <w:r>
        <w:rPr>
          <w:rFonts w:ascii="仿宋" w:hAnsi="仿宋" w:eastAsia="仿宋"/>
          <w:b w:val="0"/>
          <w:sz w:val="24"/>
        </w:rPr>
        <w:t>在提升效率方面，AI工具可辅助完成以下工作：根据当事人陈述自动生成法律文书初稿（仲裁申请书、执行申请书等）、整理证据材料时序表、归纳争议焦点。但须坚持"AI初稿、人工审核、当面确认"的三段流程——AI生成的文书仅作为工作底稿，必须经承办律师逐条审核事实认定和法律适用，最终版本须与受援人当面确认签字后方可提交。前台咨询环节，可引入官方可信法律服务平台（如"粤省事"法律服务专区、广东法律服务网）作为AI答案的补充校验来源，确保咨询回复的准确性和权威性。</w:t>
      </w:r>
    </w:p>
    <w:p>
      <w:pPr>
        <w:spacing w:after="120" w:before="400" w:line="300" w:lineRule="auto"/>
      </w:pPr>
      <w:r>
        <w:rPr>
          <w:rFonts w:ascii="黑体" w:hAnsi="黑体" w:eastAsia="黑体"/>
          <w:b/>
          <w:sz w:val="24"/>
        </w:rPr>
        <w:t>主要法律依据索引</w:t>
      </w:r>
    </w:p>
    <w:p>
      <w:pPr>
        <w:spacing w:after="60" w:before="0" w:line="300" w:lineRule="auto"/>
        <w:ind w:firstLine="420"/>
      </w:pPr>
      <w:r>
        <w:rPr>
          <w:rFonts w:ascii="仿宋" w:hAnsi="仿宋" w:eastAsia="仿宋"/>
          <w:b w:val="0"/>
          <w:sz w:val="22"/>
        </w:rPr>
        <w:t>1．《最高人民法院关于民事执行中变更、追加当事人若干问题的规定》（法释〔2020〕21号）第17条、第18条、第20条。</w:t>
      </w:r>
    </w:p>
    <w:p>
      <w:pPr>
        <w:spacing w:after="60" w:before="0" w:line="300" w:lineRule="auto"/>
        <w:ind w:firstLine="420"/>
      </w:pPr>
      <w:r>
        <w:rPr>
          <w:rFonts w:ascii="仿宋" w:hAnsi="仿宋" w:eastAsia="仿宋"/>
          <w:b w:val="0"/>
          <w:sz w:val="22"/>
        </w:rPr>
        <w:t>2．《深圳经济特区和谐劳动关系促进条例》第55条、第58条。</w:t>
      </w:r>
    </w:p>
    <w:p>
      <w:pPr>
        <w:spacing w:after="60" w:before="0" w:line="300" w:lineRule="auto"/>
        <w:ind w:firstLine="420"/>
      </w:pPr>
      <w:r>
        <w:rPr>
          <w:rFonts w:ascii="仿宋" w:hAnsi="仿宋" w:eastAsia="仿宋"/>
          <w:b w:val="0"/>
          <w:sz w:val="22"/>
        </w:rPr>
        <w:t>3．《深圳市法律援助条例》第14条、第44—51条。</w:t>
      </w:r>
    </w:p>
    <w:p>
      <w:pPr>
        <w:spacing w:after="60" w:before="0" w:line="300" w:lineRule="auto"/>
        <w:ind w:firstLine="420"/>
      </w:pPr>
      <w:r>
        <w:rPr>
          <w:rFonts w:ascii="仿宋" w:hAnsi="仿宋" w:eastAsia="仿宋"/>
          <w:b w:val="0"/>
          <w:sz w:val="22"/>
        </w:rPr>
        <w:t>4．最高人民法院涉欠薪纠纷典型案例（2024年12月23日发布），案例五"11名劳动者与某科技公司劳动争议仲裁裁决执行案"、案例六"47名劳动者与某餐饮公司劳动争议仲裁裁决执行案"。</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