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nhân tố ảnh hưởng đến sự hài lòng của khách hàng khi mua sắm trực tuyến trên sàn thương mại điện tử X</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MÔ HÌNH NGHIÊN CỨU</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nghiên cứu của đề tài này gồm 6 nhân tố độc lập tác động lên nhân tố phụ thuộc như sau:</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Giao diện và Ứng dụng</w:t>
        <w:br w:type="textWrapping"/>
        <w:t xml:space="preserve">2. Sản phẩm và Giá cả</w:t>
        <w:br w:type="textWrapping"/>
        <w:t xml:space="preserve">3. Dịch vụ giao hàng</w:t>
        <w:br w:type="textWrapping"/>
        <w:t xml:space="preserve">4. Thanh toán</w:t>
        <w:br w:type="textWrapping"/>
        <w:t xml:space="preserve">5. Chăm sóc khách hàng và Đổi trả</w:t>
        <w:br w:type="textWrapping"/>
        <w:t xml:space="preserve">6. Bảo mật và An toàn</w:t>
        <w:br w:type="textWrapping"/>
      </w:r>
      <w:r w:rsidDel="00000000" w:rsidR="00000000" w:rsidRPr="00000000">
        <w:rPr>
          <w:rFonts w:ascii="Times New Roman" w:cs="Times New Roman" w:eastAsia="Times New Roman" w:hAnsi="Times New Roman"/>
          <w:b w:val="1"/>
          <w:bCs w:val="1"/>
          <w:rtl w:val="0"/>
        </w:rPr>
        <w:t xml:space="preserve">→ Tác động đến: Sự hài lòng của khách hàng</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BẢNG CÂU HỎI KHẢO SÁT</w:t>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THÔNG TIN CÁ NHÂN</w:t>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Câu 1. Giới tính của Anh/Chị?</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Nữ</w:t>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Câu 2. Xin vui lòng cho biết, Anh/Chị nằm trong độ tuổi nào?</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Từ 18 – 24 tuổi</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Từ 25 – 34 tuổi</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Từ 35 – 44 tuổi</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Từ 45 tuổi trở lên</w:t>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Câu 3. Nghề nghiệp hiện tại của Anh/Chị là gì?</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Học sinh – Sinh viên</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Người đi làm (nhân viên, công chức)</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Kinh doanh tự do</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Nội trợ – Hưu trí</w:t>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Câu 4. Trung bình mỗi tháng, Anh/Chị mua sắm trên sàn X bao nhiêu lần?</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Dưới 1 lần</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Từ 1 – 2 lần</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Từ 3 – 5 lần</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Trên 5 lần</w:t>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Câu 5. Giá trị trung bình mỗi đơn hàng Anh/Chị mua trên sàn X là khoảng bao nhiêu?</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Dưới 200 nghìn đồng</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Từ 200 – dưới 500 nghìn đồng</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Từ 500 nghìn – dưới 1 triệu đồng</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Từ 1 triệu đồng trở lên</w:t>
      </w:r>
    </w:p>
    <w:p w:rsidR="00000000" w:rsidDel="00000000" w:rsidP="00000000" w:rsidRDefault="00000000" w:rsidRPr="00000000" w14:paraId="000000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ĐÁNH GIÁ TRẢI NGHIỆM MUA SẮM VÀ SỰ HÀI LÒNG</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khảo sát sử dụng thang đo Likert 5 mức độ:</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 Rất không đồng ý  |  2 = Không đồng ý  |  3 = Trung lập  |  4 = Đồng ý  |  5 = Rất đồng ý</w:t>
      </w:r>
    </w:p>
    <w:tbl>
      <w:tblPr>
        <w:tblStyle w:val="Table1"/>
        <w:tblW w:w="9638.0" w:type="dxa"/>
        <w:jc w:val="left"/>
        <w:tblLayout w:type="fixed"/>
        <w:tblLook w:val="0400"/>
      </w:tblPr>
      <w:tblGrid>
        <w:gridCol w:w="770"/>
        <w:gridCol w:w="5493"/>
        <w:gridCol w:w="675"/>
        <w:gridCol w:w="675"/>
        <w:gridCol w:w="675"/>
        <w:gridCol w:w="675"/>
        <w:gridCol w:w="675"/>
        <w:tblGridChange w:id="0">
          <w:tblGrid>
            <w:gridCol w:w="770"/>
            <w:gridCol w:w="5493"/>
            <w:gridCol w:w="675"/>
            <w:gridCol w:w="675"/>
            <w:gridCol w:w="675"/>
            <w:gridCol w:w="675"/>
            <w:gridCol w:w="67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&amp; ỨNG DỤNG</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UD1</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ứng dụng/website của sàn X dễ nhìn, bố cục rõ ràng</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2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UD2</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tìm kiếm và lọc sản phẩm hoạt động hiệu quả</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3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UD3</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chạy ổn định, ít xảy ra lỗi hoặc giật lag</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3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UD4</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Thao tác đặt hàng trên sàn X nhanh chóng, đơn giản</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
        <w:tblW w:w="9638.0" w:type="dxa"/>
        <w:jc w:val="left"/>
        <w:tblLayout w:type="fixed"/>
        <w:tblLook w:val="0400"/>
      </w:tblPr>
      <w:tblGrid>
        <w:gridCol w:w="770"/>
        <w:gridCol w:w="5493"/>
        <w:gridCol w:w="675"/>
        <w:gridCol w:w="675"/>
        <w:gridCol w:w="675"/>
        <w:gridCol w:w="675"/>
        <w:gridCol w:w="675"/>
        <w:tblGridChange w:id="0">
          <w:tblGrid>
            <w:gridCol w:w="770"/>
            <w:gridCol w:w="5493"/>
            <w:gridCol w:w="675"/>
            <w:gridCol w:w="675"/>
            <w:gridCol w:w="675"/>
            <w:gridCol w:w="675"/>
            <w:gridCol w:w="67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4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SẢN PHẨM &amp; GIÁ CẢ</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4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4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4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4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4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SP1</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Sàn X có nhiều chủng loại sản phẩm đa dạng</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5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SP2</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hình ảnh sản phẩm được mô tả đầy đủ, chính xác</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SP3</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nhận được đúng với chất lượng như quảng cáo</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6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SP4</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sản phẩm trên sàn X cạnh tranh so với các kênh mua sắm khác</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6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SP5</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Sàn X thường xuyên có mã giảm giá, chương trình khuyến mãi hấp dẫn</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3"/>
        <w:tblW w:w="9638.0" w:type="dxa"/>
        <w:jc w:val="left"/>
        <w:tblLayout w:type="fixed"/>
        <w:tblLook w:val="0400"/>
      </w:tblPr>
      <w:tblGrid>
        <w:gridCol w:w="770"/>
        <w:gridCol w:w="5493"/>
        <w:gridCol w:w="675"/>
        <w:gridCol w:w="675"/>
        <w:gridCol w:w="675"/>
        <w:gridCol w:w="675"/>
        <w:gridCol w:w="675"/>
        <w:tblGridChange w:id="0">
          <w:tblGrid>
            <w:gridCol w:w="770"/>
            <w:gridCol w:w="5493"/>
            <w:gridCol w:w="675"/>
            <w:gridCol w:w="675"/>
            <w:gridCol w:w="675"/>
            <w:gridCol w:w="675"/>
            <w:gridCol w:w="67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7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DỊCH VỤ GIAO HÀNG</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7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7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7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7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7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7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GH1</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giao hàng nhanh</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7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GH2</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hàng được giao đúng thời gian dự kiến</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8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GH3</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hóa được đóng gói cẩn thận, không bị hư hỏng</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8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GH4</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giao hàng có thái độ lịch sự, thân thiện</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9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GH5</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Anh/Chị dễ dàng theo dõi trạng thái đơn hàng trên ứng dụng</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9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GH6</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nhận được đúng số lượng, mẫu mã đã đặt</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A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GH7</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 vận chuyển hợp lý, có nhiều ưu đãi miễn phí vận chuyển</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4"/>
        <w:tblW w:w="9638.0" w:type="dxa"/>
        <w:jc w:val="left"/>
        <w:tblLayout w:type="fixed"/>
        <w:tblLook w:val="0400"/>
      </w:tblPr>
      <w:tblGrid>
        <w:gridCol w:w="770"/>
        <w:gridCol w:w="5493"/>
        <w:gridCol w:w="675"/>
        <w:gridCol w:w="675"/>
        <w:gridCol w:w="675"/>
        <w:gridCol w:w="675"/>
        <w:gridCol w:w="675"/>
        <w:tblGridChange w:id="0">
          <w:tblGrid>
            <w:gridCol w:w="770"/>
            <w:gridCol w:w="5493"/>
            <w:gridCol w:w="675"/>
            <w:gridCol w:w="675"/>
            <w:gridCol w:w="675"/>
            <w:gridCol w:w="675"/>
            <w:gridCol w:w="67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A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THANH TOÁN</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A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A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A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A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B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TT1</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Sàn X hỗ trợ nhiều phương thức thanh toán (COD, ví điện tử, thẻ ngân hàng…)</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B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TT2</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Quá trình thanh toán diễn ra nhanh chóng, thuận tiện</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B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TT3</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giao dịch thanh toán được thực hiện chính xác, không sai sót</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C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TT4</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được hoàn lại nhanh chóng khi đơn hàng bị hủy hoặc trả hàng</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5"/>
        <w:tblW w:w="9638.0" w:type="dxa"/>
        <w:jc w:val="left"/>
        <w:tblLayout w:type="fixed"/>
        <w:tblLook w:val="0400"/>
      </w:tblPr>
      <w:tblGrid>
        <w:gridCol w:w="770"/>
        <w:gridCol w:w="5493"/>
        <w:gridCol w:w="675"/>
        <w:gridCol w:w="675"/>
        <w:gridCol w:w="675"/>
        <w:gridCol w:w="675"/>
        <w:gridCol w:w="675"/>
        <w:tblGridChange w:id="0">
          <w:tblGrid>
            <w:gridCol w:w="770"/>
            <w:gridCol w:w="5493"/>
            <w:gridCol w:w="675"/>
            <w:gridCol w:w="675"/>
            <w:gridCol w:w="675"/>
            <w:gridCol w:w="675"/>
            <w:gridCol w:w="67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C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CHĂM SÓC KHÁCH HÀNG &amp; ĐỔI TRẢ</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C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D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D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D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D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D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CS1</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chăm sóc khách hàng của sàn X phản hồi nhanh chóng</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D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CS2</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khiếu nại của khách hàng được giải quyết thỏa đáng</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E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CS3</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sách đổi trả hàng rõ ràng, dễ thực hiện</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E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CS4</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bán trên sàn X trả lời tin nhắn nhiệt tình, chu đáo</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F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CS5</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Sàn X có chính sách ưu đãi riêng cho khách hàng thân thiết</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6"/>
        <w:tblW w:w="9638.0" w:type="dxa"/>
        <w:jc w:val="left"/>
        <w:tblLayout w:type="fixed"/>
        <w:tblLook w:val="0400"/>
      </w:tblPr>
      <w:tblGrid>
        <w:gridCol w:w="770"/>
        <w:gridCol w:w="5493"/>
        <w:gridCol w:w="675"/>
        <w:gridCol w:w="675"/>
        <w:gridCol w:w="675"/>
        <w:gridCol w:w="675"/>
        <w:gridCol w:w="675"/>
        <w:tblGridChange w:id="0">
          <w:tblGrid>
            <w:gridCol w:w="770"/>
            <w:gridCol w:w="5493"/>
            <w:gridCol w:w="675"/>
            <w:gridCol w:w="675"/>
            <w:gridCol w:w="675"/>
            <w:gridCol w:w="675"/>
            <w:gridCol w:w="67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F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BẢO MẬT &amp; AN TOÀN</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F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F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F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F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F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0F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BM1</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cá nhân của Anh/Chị được sàn X bảo mật an toàn</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BM2</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thanh toán (thẻ, tài khoản) được bảo vệ tốt</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BM3</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Sàn X kiểm soát tốt hàng giả, hàng kém chất lượng</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BM4</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Anh/Chị tin tưởng vào các cam kết bảo vệ người mua của sàn X</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7"/>
        <w:tblW w:w="9638.0" w:type="dxa"/>
        <w:jc w:val="left"/>
        <w:tblLayout w:type="fixed"/>
        <w:tblLook w:val="0400"/>
      </w:tblPr>
      <w:tblGrid>
        <w:gridCol w:w="770"/>
        <w:gridCol w:w="5493"/>
        <w:gridCol w:w="675"/>
        <w:gridCol w:w="675"/>
        <w:gridCol w:w="675"/>
        <w:gridCol w:w="675"/>
        <w:gridCol w:w="675"/>
        <w:tblGridChange w:id="0">
          <w:tblGrid>
            <w:gridCol w:w="770"/>
            <w:gridCol w:w="5493"/>
            <w:gridCol w:w="675"/>
            <w:gridCol w:w="675"/>
            <w:gridCol w:w="675"/>
            <w:gridCol w:w="675"/>
            <w:gridCol w:w="67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1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SỰ HÀI LÒNG CỦA KHÁCH HÀNG</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2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HL1</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Anh/Chị hài lòng với trải nghiệm mua sắm trên sàn X</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2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HL2</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Anh/Chị sẽ tiếp tục mua sắm trên sàn X trong thời gian tới</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HL3</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Anh/Chị sẵn sàng giới thiệu sàn X cho người thân, bạn bè</w:t>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vAlign w:val="center"/>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3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Trân trọng cảm ơn Anh/Chị đã dành thời gian trả lời!</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spacing w:after="0" w:line="240" w:lineRule="auto"/>
        <w:rPr>
          <w:rFonts w:ascii="Times New Roman" w:cs="Times New Roman" w:eastAsia="Times New Roman" w:hAnsi="Times New Roman"/>
        </w:rPr>
      </w:pPr>
      <w:r w:rsidDel="00000000" w:rsidR="00000000" w:rsidRPr="00000000">
        <w:rPr>
          <w:rtl w:val="0"/>
        </w:rPr>
      </w:r>
    </w:p>
    <w:tbl>
      <w:tblPr>
        <w:tblStyle w:val="Table8"/>
        <w:tblW w:w="6516.0" w:type="dxa"/>
        <w:jc w:val="left"/>
        <w:tblLayout w:type="fixed"/>
        <w:tblLook w:val="0000"/>
      </w:tblPr>
      <w:tblGrid>
        <w:gridCol w:w="734"/>
        <w:gridCol w:w="734"/>
        <w:gridCol w:w="1163"/>
        <w:gridCol w:w="1024"/>
        <w:gridCol w:w="1392"/>
        <w:gridCol w:w="1469"/>
        <w:tblGridChange w:id="0">
          <w:tblGrid>
            <w:gridCol w:w="734"/>
            <w:gridCol w:w="734"/>
            <w:gridCol w:w="1163"/>
            <w:gridCol w:w="1024"/>
            <w:gridCol w:w="1392"/>
            <w:gridCol w:w="1469"/>
          </w:tblGrid>
        </w:tblGridChange>
      </w:tblGrid>
      <w:tr>
        <w:trPr>
          <w:cantSplit w:val="1"/>
          <w:tblHeader w:val="0"/>
        </w:trPr>
        <w:tc>
          <w:tcPr>
            <w:gridSpan w:val="6"/>
            <w:tcBorders>
              <w:top w:color="000000" w:space="0" w:sz="0" w:val="nil"/>
              <w:left w:color="000000" w:space="0" w:sz="0" w:val="nil"/>
              <w:bottom w:color="000000" w:space="0" w:sz="0" w:val="nil"/>
              <w:right w:color="000000" w:space="0" w:sz="0" w:val="nil"/>
            </w:tcBorders>
            <w:shd w:fill="ffffff" w:val="clear"/>
            <w:tcMar>
              <w:top w:w="0.0" w:type="dxa"/>
              <w:bottom w:w="0.0" w:type="dxa"/>
            </w:tcMar>
            <w:vAlign w:val="center"/>
          </w:tcPr>
          <w:p w:rsidR="00000000" w:rsidDel="00000000" w:rsidP="00000000" w:rsidRDefault="00000000" w:rsidRPr="00000000" w14:paraId="0000013B">
            <w:pPr>
              <w:spacing w:after="0" w:line="303.5830920671685" w:lineRule="auto"/>
              <w:ind w:left="60" w:right="60" w:firstLine="0"/>
              <w:jc w:val="center"/>
              <w:rPr>
                <w:rFonts w:ascii="Arial" w:cs="Arial" w:eastAsia="Arial" w:hAnsi="Arial"/>
                <w:color w:val="010205"/>
                <w:sz w:val="22"/>
                <w:szCs w:val="22"/>
              </w:rPr>
            </w:pPr>
            <w:r w:rsidDel="00000000" w:rsidR="00000000" w:rsidRPr="00000000">
              <w:rPr>
                <w:rFonts w:ascii="Arial" w:cs="Arial" w:eastAsia="Arial" w:hAnsi="Arial"/>
                <w:b w:val="1"/>
                <w:bCs w:val="1"/>
                <w:color w:val="010205"/>
                <w:sz w:val="22"/>
                <w:szCs w:val="22"/>
                <w:rtl w:val="0"/>
              </w:rPr>
              <w:t xml:space="preserve">GioiTinh</w:t>
            </w:r>
            <w:r w:rsidDel="00000000" w:rsidR="00000000" w:rsidRPr="00000000">
              <w:rPr>
                <w:rtl w:val="0"/>
              </w:rPr>
            </w:r>
          </w:p>
        </w:tc>
      </w:tr>
      <w:tr>
        <w:trPr>
          <w:cantSplit w:val="1"/>
          <w:tblHeader w:val="0"/>
        </w:trPr>
        <w:tc>
          <w:tcPr>
            <w:gridSpan w:val="2"/>
            <w:tcBorders>
              <w:top w:color="000000" w:space="0" w:sz="0" w:val="nil"/>
              <w:left w:color="000000" w:space="0" w:sz="0" w:val="nil"/>
              <w:bottom w:color="152935" w:space="0" w:sz="8" w:val="single"/>
              <w:right w:color="000000" w:space="0" w:sz="0" w:val="nil"/>
            </w:tcBorders>
            <w:shd w:fill="ffffff" w:val="clear"/>
            <w:tcMar>
              <w:top w:w="0.0" w:type="dxa"/>
              <w:bottom w:w="0.0" w:type="dxa"/>
            </w:tcMar>
            <w:vAlign w:val="bottom"/>
          </w:tcPr>
          <w:p w:rsidR="00000000" w:rsidDel="00000000" w:rsidP="00000000" w:rsidRDefault="00000000" w:rsidRPr="00000000" w14:paraId="0000014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152935" w:space="0" w:sz="8" w:val="single"/>
              <w:right w:color="e0e0e0" w:space="0" w:sz="8" w:val="single"/>
            </w:tcBorders>
            <w:shd w:fill="ffffff" w:val="clear"/>
            <w:tcMar>
              <w:top w:w="0.0" w:type="dxa"/>
              <w:bottom w:w="0.0" w:type="dxa"/>
            </w:tcMar>
            <w:vAlign w:val="bottom"/>
          </w:tcPr>
          <w:p w:rsidR="00000000" w:rsidDel="00000000" w:rsidP="00000000" w:rsidRDefault="00000000" w:rsidRPr="00000000" w14:paraId="00000143">
            <w:pPr>
              <w:spacing w:after="0" w:line="371.0460014154282" w:lineRule="auto"/>
              <w:ind w:left="60" w:right="60" w:firstLine="0"/>
              <w:jc w:val="center"/>
              <w:rPr>
                <w:rFonts w:ascii="Arial" w:cs="Arial" w:eastAsia="Arial" w:hAnsi="Arial"/>
                <w:color w:val="264a60"/>
                <w:sz w:val="18"/>
                <w:szCs w:val="18"/>
              </w:rPr>
            </w:pPr>
            <w:r w:rsidDel="00000000" w:rsidR="00000000" w:rsidRPr="00000000">
              <w:rPr>
                <w:rFonts w:ascii="Arial" w:cs="Arial" w:eastAsia="Arial" w:hAnsi="Arial"/>
                <w:color w:val="264a60"/>
                <w:sz w:val="18"/>
                <w:szCs w:val="18"/>
                <w:rtl w:val="0"/>
              </w:rPr>
              <w:t xml:space="preserve">Frequency</w:t>
            </w:r>
          </w:p>
        </w:tc>
        <w:tc>
          <w:tcPr>
            <w:tcBorders>
              <w:top w:color="000000" w:space="0" w:sz="0" w:val="nil"/>
              <w:left w:color="e0e0e0" w:space="0" w:sz="8" w:val="single"/>
              <w:bottom w:color="152935" w:space="0" w:sz="8" w:val="single"/>
              <w:right w:color="e0e0e0" w:space="0" w:sz="8" w:val="single"/>
            </w:tcBorders>
            <w:shd w:fill="ffffff" w:val="clear"/>
            <w:tcMar>
              <w:top w:w="0.0" w:type="dxa"/>
              <w:bottom w:w="0.0" w:type="dxa"/>
            </w:tcMar>
            <w:vAlign w:val="bottom"/>
          </w:tcPr>
          <w:p w:rsidR="00000000" w:rsidDel="00000000" w:rsidP="00000000" w:rsidRDefault="00000000" w:rsidRPr="00000000" w14:paraId="00000144">
            <w:pPr>
              <w:spacing w:after="0" w:line="371.0460014154282" w:lineRule="auto"/>
              <w:ind w:left="60" w:right="60" w:firstLine="0"/>
              <w:jc w:val="center"/>
              <w:rPr>
                <w:rFonts w:ascii="Arial" w:cs="Arial" w:eastAsia="Arial" w:hAnsi="Arial"/>
                <w:color w:val="264a60"/>
                <w:sz w:val="18"/>
                <w:szCs w:val="18"/>
              </w:rPr>
            </w:pPr>
            <w:r w:rsidDel="00000000" w:rsidR="00000000" w:rsidRPr="00000000">
              <w:rPr>
                <w:rFonts w:ascii="Arial" w:cs="Arial" w:eastAsia="Arial" w:hAnsi="Arial"/>
                <w:color w:val="264a60"/>
                <w:sz w:val="18"/>
                <w:szCs w:val="18"/>
                <w:rtl w:val="0"/>
              </w:rPr>
              <w:t xml:space="preserve">Percent</w:t>
            </w:r>
          </w:p>
        </w:tc>
        <w:tc>
          <w:tcPr>
            <w:tcBorders>
              <w:top w:color="000000" w:space="0" w:sz="0" w:val="nil"/>
              <w:left w:color="e0e0e0" w:space="0" w:sz="8" w:val="single"/>
              <w:bottom w:color="152935" w:space="0" w:sz="8" w:val="single"/>
              <w:right w:color="e0e0e0" w:space="0" w:sz="8" w:val="single"/>
            </w:tcBorders>
            <w:shd w:fill="ffffff" w:val="clear"/>
            <w:tcMar>
              <w:top w:w="0.0" w:type="dxa"/>
              <w:bottom w:w="0.0" w:type="dxa"/>
            </w:tcMar>
            <w:vAlign w:val="bottom"/>
          </w:tcPr>
          <w:p w:rsidR="00000000" w:rsidDel="00000000" w:rsidP="00000000" w:rsidRDefault="00000000" w:rsidRPr="00000000" w14:paraId="00000145">
            <w:pPr>
              <w:spacing w:after="0" w:line="371.0460014154282" w:lineRule="auto"/>
              <w:ind w:left="60" w:right="60" w:firstLine="0"/>
              <w:jc w:val="center"/>
              <w:rPr>
                <w:rFonts w:ascii="Arial" w:cs="Arial" w:eastAsia="Arial" w:hAnsi="Arial"/>
                <w:color w:val="264a60"/>
                <w:sz w:val="18"/>
                <w:szCs w:val="18"/>
              </w:rPr>
            </w:pPr>
            <w:r w:rsidDel="00000000" w:rsidR="00000000" w:rsidRPr="00000000">
              <w:rPr>
                <w:rFonts w:ascii="Arial" w:cs="Arial" w:eastAsia="Arial" w:hAnsi="Arial"/>
                <w:color w:val="264a60"/>
                <w:sz w:val="18"/>
                <w:szCs w:val="18"/>
                <w:rtl w:val="0"/>
              </w:rPr>
              <w:t xml:space="preserve">Valid Percent</w:t>
            </w:r>
          </w:p>
        </w:tc>
        <w:tc>
          <w:tcPr>
            <w:tcBorders>
              <w:top w:color="000000" w:space="0" w:sz="0" w:val="nil"/>
              <w:left w:color="e0e0e0" w:space="0" w:sz="8" w:val="single"/>
              <w:bottom w:color="152935" w:space="0" w:sz="8" w:val="single"/>
              <w:right w:color="000000" w:space="0" w:sz="0" w:val="nil"/>
            </w:tcBorders>
            <w:shd w:fill="ffffff" w:val="clear"/>
            <w:tcMar>
              <w:top w:w="0.0" w:type="dxa"/>
              <w:bottom w:w="0.0" w:type="dxa"/>
            </w:tcMar>
            <w:vAlign w:val="bottom"/>
          </w:tcPr>
          <w:p w:rsidR="00000000" w:rsidDel="00000000" w:rsidP="00000000" w:rsidRDefault="00000000" w:rsidRPr="00000000" w14:paraId="00000146">
            <w:pPr>
              <w:spacing w:after="0" w:line="371.0460014154282" w:lineRule="auto"/>
              <w:ind w:left="60" w:right="60" w:firstLine="0"/>
              <w:jc w:val="center"/>
              <w:rPr>
                <w:rFonts w:ascii="Arial" w:cs="Arial" w:eastAsia="Arial" w:hAnsi="Arial"/>
                <w:color w:val="264a60"/>
                <w:sz w:val="18"/>
                <w:szCs w:val="18"/>
              </w:rPr>
            </w:pPr>
            <w:r w:rsidDel="00000000" w:rsidR="00000000" w:rsidRPr="00000000">
              <w:rPr>
                <w:rFonts w:ascii="Arial" w:cs="Arial" w:eastAsia="Arial" w:hAnsi="Arial"/>
                <w:color w:val="264a60"/>
                <w:sz w:val="18"/>
                <w:szCs w:val="18"/>
                <w:rtl w:val="0"/>
              </w:rPr>
              <w:t xml:space="preserve">Cumulative Percent</w:t>
            </w:r>
          </w:p>
        </w:tc>
      </w:tr>
      <w:tr>
        <w:trPr>
          <w:cantSplit w:val="1"/>
          <w:tblHeader w:val="0"/>
        </w:trPr>
        <w:tc>
          <w:tcPr>
            <w:vMerge w:val="restart"/>
            <w:tcBorders>
              <w:top w:color="152935" w:space="0" w:sz="8" w:val="single"/>
              <w:left w:color="000000" w:space="0" w:sz="0" w:val="nil"/>
              <w:bottom w:color="152935" w:space="0" w:sz="8" w:val="single"/>
              <w:right w:color="000000" w:space="0" w:sz="0" w:val="nil"/>
            </w:tcBorders>
            <w:shd w:fill="e0e0e0" w:val="clear"/>
            <w:tcMar>
              <w:top w:w="0.0" w:type="dxa"/>
              <w:bottom w:w="0.0" w:type="dxa"/>
            </w:tcMar>
          </w:tcPr>
          <w:p w:rsidR="00000000" w:rsidDel="00000000" w:rsidP="00000000" w:rsidRDefault="00000000" w:rsidRPr="00000000" w14:paraId="00000147">
            <w:pPr>
              <w:spacing w:after="0" w:line="371.0460014154282" w:lineRule="auto"/>
              <w:ind w:left="60" w:right="60" w:firstLine="0"/>
              <w:rPr>
                <w:rFonts w:ascii="Arial" w:cs="Arial" w:eastAsia="Arial" w:hAnsi="Arial"/>
                <w:color w:val="264a60"/>
                <w:sz w:val="18"/>
                <w:szCs w:val="18"/>
              </w:rPr>
            </w:pPr>
            <w:r w:rsidDel="00000000" w:rsidR="00000000" w:rsidRPr="00000000">
              <w:rPr>
                <w:rFonts w:ascii="Arial" w:cs="Arial" w:eastAsia="Arial" w:hAnsi="Arial"/>
                <w:color w:val="264a60"/>
                <w:sz w:val="18"/>
                <w:szCs w:val="18"/>
                <w:rtl w:val="0"/>
              </w:rPr>
              <w:t xml:space="preserve">Valid</w:t>
            </w:r>
          </w:p>
        </w:tc>
        <w:tc>
          <w:tcPr>
            <w:tcBorders>
              <w:top w:color="152935" w:space="0" w:sz="8" w:val="single"/>
              <w:left w:color="000000" w:space="0" w:sz="0" w:val="nil"/>
              <w:bottom w:color="aeaeae" w:space="0" w:sz="8" w:val="single"/>
              <w:right w:color="000000" w:space="0" w:sz="0" w:val="nil"/>
            </w:tcBorders>
            <w:shd w:fill="e0e0e0" w:val="clear"/>
            <w:tcMar>
              <w:top w:w="0.0" w:type="dxa"/>
              <w:bottom w:w="0.0" w:type="dxa"/>
            </w:tcMar>
          </w:tcPr>
          <w:p w:rsidR="00000000" w:rsidDel="00000000" w:rsidP="00000000" w:rsidRDefault="00000000" w:rsidRPr="00000000" w14:paraId="00000148">
            <w:pPr>
              <w:spacing w:after="0" w:line="371.0460014154282" w:lineRule="auto"/>
              <w:ind w:left="60" w:right="60" w:firstLine="0"/>
              <w:rPr>
                <w:rFonts w:ascii="Arial" w:cs="Arial" w:eastAsia="Arial" w:hAnsi="Arial"/>
                <w:color w:val="264a60"/>
                <w:sz w:val="18"/>
                <w:szCs w:val="18"/>
              </w:rPr>
            </w:pPr>
            <w:r w:rsidDel="00000000" w:rsidR="00000000" w:rsidRPr="00000000">
              <w:rPr>
                <w:rFonts w:ascii="Arial" w:cs="Arial" w:eastAsia="Arial" w:hAnsi="Arial"/>
                <w:color w:val="264a60"/>
                <w:sz w:val="18"/>
                <w:szCs w:val="18"/>
                <w:rtl w:val="0"/>
              </w:rPr>
              <w:t xml:space="preserve">Nam</w:t>
            </w:r>
          </w:p>
        </w:tc>
        <w:tc>
          <w:tcPr>
            <w:tcBorders>
              <w:top w:color="152935" w:space="0" w:sz="8" w:val="single"/>
              <w:left w:color="000000" w:space="0" w:sz="0" w:val="nil"/>
              <w:bottom w:color="aeaeae" w:space="0" w:sz="8" w:val="single"/>
              <w:right w:color="e0e0e0" w:space="0" w:sz="8" w:val="single"/>
            </w:tcBorders>
            <w:shd w:fill="f9f9fb" w:val="clear"/>
            <w:tcMar>
              <w:top w:w="0.0" w:type="dxa"/>
              <w:bottom w:w="0.0" w:type="dxa"/>
            </w:tcMar>
          </w:tcPr>
          <w:p w:rsidR="00000000" w:rsidDel="00000000" w:rsidP="00000000" w:rsidRDefault="00000000" w:rsidRPr="00000000" w14:paraId="00000149">
            <w:pPr>
              <w:spacing w:after="0" w:line="371.0460014154282"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90</w:t>
            </w:r>
          </w:p>
        </w:tc>
        <w:tc>
          <w:tcPr>
            <w:tcBorders>
              <w:top w:color="152935" w:space="0" w:sz="8" w:val="single"/>
              <w:left w:color="e0e0e0" w:space="0" w:sz="8" w:val="single"/>
              <w:bottom w:color="aeaeae" w:space="0" w:sz="8" w:val="single"/>
              <w:right w:color="e0e0e0" w:space="0" w:sz="8" w:val="single"/>
            </w:tcBorders>
            <w:shd w:fill="f9f9fb" w:val="clear"/>
            <w:tcMar>
              <w:top w:w="0.0" w:type="dxa"/>
              <w:bottom w:w="0.0" w:type="dxa"/>
            </w:tcMar>
          </w:tcPr>
          <w:p w:rsidR="00000000" w:rsidDel="00000000" w:rsidP="00000000" w:rsidRDefault="00000000" w:rsidRPr="00000000" w14:paraId="0000014A">
            <w:pPr>
              <w:spacing w:after="0" w:line="371.0460014154282"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39.3</w:t>
            </w:r>
          </w:p>
        </w:tc>
        <w:tc>
          <w:tcPr>
            <w:tcBorders>
              <w:top w:color="152935" w:space="0" w:sz="8" w:val="single"/>
              <w:left w:color="e0e0e0" w:space="0" w:sz="8" w:val="single"/>
              <w:bottom w:color="aeaeae" w:space="0" w:sz="8" w:val="single"/>
              <w:right w:color="e0e0e0" w:space="0" w:sz="8" w:val="single"/>
            </w:tcBorders>
            <w:shd w:fill="f9f9fb" w:val="clear"/>
            <w:tcMar>
              <w:top w:w="0.0" w:type="dxa"/>
              <w:bottom w:w="0.0" w:type="dxa"/>
            </w:tcMar>
          </w:tcPr>
          <w:p w:rsidR="00000000" w:rsidDel="00000000" w:rsidP="00000000" w:rsidRDefault="00000000" w:rsidRPr="00000000" w14:paraId="0000014B">
            <w:pPr>
              <w:spacing w:after="0" w:line="371.0460014154282"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39.3</w:t>
            </w:r>
          </w:p>
        </w:tc>
        <w:tc>
          <w:tcPr>
            <w:tcBorders>
              <w:top w:color="152935" w:space="0" w:sz="8" w:val="single"/>
              <w:left w:color="e0e0e0" w:space="0" w:sz="8" w:val="single"/>
              <w:bottom w:color="aeaeae" w:space="0" w:sz="8" w:val="single"/>
              <w:right w:color="000000" w:space="0" w:sz="0" w:val="nil"/>
            </w:tcBorders>
            <w:shd w:fill="f9f9fb" w:val="clear"/>
            <w:tcMar>
              <w:top w:w="0.0" w:type="dxa"/>
              <w:bottom w:w="0.0" w:type="dxa"/>
            </w:tcMar>
          </w:tcPr>
          <w:p w:rsidR="00000000" w:rsidDel="00000000" w:rsidP="00000000" w:rsidRDefault="00000000" w:rsidRPr="00000000" w14:paraId="0000014C">
            <w:pPr>
              <w:spacing w:after="0" w:line="371.0460014154282"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39.3</w:t>
            </w:r>
          </w:p>
        </w:tc>
      </w:tr>
      <w:tr>
        <w:trPr>
          <w:cantSplit w:val="1"/>
          <w:tblHeader w:val="0"/>
        </w:trPr>
        <w:tc>
          <w:tcPr>
            <w:vMerge w:val="continue"/>
            <w:tcBorders>
              <w:top w:color="152935" w:space="0" w:sz="8" w:val="single"/>
              <w:left w:color="000000" w:space="0" w:sz="0" w:val="nil"/>
              <w:bottom w:color="152935" w:space="0" w:sz="8" w:val="single"/>
              <w:right w:color="000000" w:space="0" w:sz="0" w:val="nil"/>
            </w:tcBorders>
            <w:shd w:fill="e0e0e0" w:val="clear"/>
            <w:tcMar>
              <w:top w:w="0.0" w:type="dxa"/>
              <w:bottom w:w="0.0" w:type="dxa"/>
            </w:tcM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10205"/>
                <w:sz w:val="18"/>
                <w:szCs w:val="18"/>
              </w:rPr>
            </w:pPr>
            <w:r w:rsidDel="00000000" w:rsidR="00000000" w:rsidRPr="00000000">
              <w:rPr>
                <w:rtl w:val="0"/>
              </w:rPr>
            </w:r>
          </w:p>
        </w:tc>
        <w:tc>
          <w:tcPr>
            <w:tcBorders>
              <w:top w:color="aeaeae" w:space="0" w:sz="8" w:val="single"/>
              <w:left w:color="000000" w:space="0" w:sz="0" w:val="nil"/>
              <w:bottom w:color="aeaeae" w:space="0" w:sz="8" w:val="single"/>
              <w:right w:color="000000" w:space="0" w:sz="0" w:val="nil"/>
            </w:tcBorders>
            <w:shd w:fill="e0e0e0" w:val="clear"/>
            <w:tcMar>
              <w:top w:w="0.0" w:type="dxa"/>
              <w:bottom w:w="0.0" w:type="dxa"/>
            </w:tcMar>
          </w:tcPr>
          <w:p w:rsidR="00000000" w:rsidDel="00000000" w:rsidP="00000000" w:rsidRDefault="00000000" w:rsidRPr="00000000" w14:paraId="0000014E">
            <w:pPr>
              <w:spacing w:after="0" w:line="371.0460014154282" w:lineRule="auto"/>
              <w:ind w:left="60" w:right="60" w:firstLine="0"/>
              <w:rPr>
                <w:rFonts w:ascii="Arial" w:cs="Arial" w:eastAsia="Arial" w:hAnsi="Arial"/>
                <w:color w:val="264a60"/>
                <w:sz w:val="18"/>
                <w:szCs w:val="18"/>
              </w:rPr>
            </w:pPr>
            <w:r w:rsidDel="00000000" w:rsidR="00000000" w:rsidRPr="00000000">
              <w:rPr>
                <w:rFonts w:ascii="Arial" w:cs="Arial" w:eastAsia="Arial" w:hAnsi="Arial"/>
                <w:color w:val="264a60"/>
                <w:sz w:val="18"/>
                <w:szCs w:val="18"/>
                <w:rtl w:val="0"/>
              </w:rPr>
              <w:t xml:space="preserve">Nữ</w:t>
            </w:r>
          </w:p>
        </w:tc>
        <w:tc>
          <w:tcPr>
            <w:tcBorders>
              <w:top w:color="aeaeae" w:space="0" w:sz="8" w:val="single"/>
              <w:left w:color="000000" w:space="0" w:sz="0" w:val="nil"/>
              <w:bottom w:color="aeaeae" w:space="0" w:sz="8" w:val="single"/>
              <w:right w:color="e0e0e0" w:space="0" w:sz="8" w:val="single"/>
            </w:tcBorders>
            <w:shd w:fill="f9f9fb" w:val="clear"/>
            <w:tcMar>
              <w:top w:w="0.0" w:type="dxa"/>
              <w:bottom w:w="0.0" w:type="dxa"/>
            </w:tcMar>
          </w:tcPr>
          <w:p w:rsidR="00000000" w:rsidDel="00000000" w:rsidP="00000000" w:rsidRDefault="00000000" w:rsidRPr="00000000" w14:paraId="0000014F">
            <w:pPr>
              <w:spacing w:after="0" w:line="371.0460014154282"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139</w:t>
            </w:r>
          </w:p>
        </w:tc>
        <w:tc>
          <w:tcPr>
            <w:tcBorders>
              <w:top w:color="aeaeae" w:space="0" w:sz="8" w:val="single"/>
              <w:left w:color="e0e0e0" w:space="0" w:sz="8" w:val="single"/>
              <w:bottom w:color="aeaeae" w:space="0" w:sz="8" w:val="single"/>
              <w:right w:color="e0e0e0" w:space="0" w:sz="8" w:val="single"/>
            </w:tcBorders>
            <w:shd w:fill="f9f9fb" w:val="clear"/>
            <w:tcMar>
              <w:top w:w="0.0" w:type="dxa"/>
              <w:bottom w:w="0.0" w:type="dxa"/>
            </w:tcMar>
          </w:tcPr>
          <w:p w:rsidR="00000000" w:rsidDel="00000000" w:rsidP="00000000" w:rsidRDefault="00000000" w:rsidRPr="00000000" w14:paraId="00000150">
            <w:pPr>
              <w:spacing w:after="0" w:line="371.0460014154282"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60.7</w:t>
            </w:r>
          </w:p>
        </w:tc>
        <w:tc>
          <w:tcPr>
            <w:tcBorders>
              <w:top w:color="aeaeae" w:space="0" w:sz="8" w:val="single"/>
              <w:left w:color="e0e0e0" w:space="0" w:sz="8" w:val="single"/>
              <w:bottom w:color="aeaeae" w:space="0" w:sz="8" w:val="single"/>
              <w:right w:color="e0e0e0" w:space="0" w:sz="8" w:val="single"/>
            </w:tcBorders>
            <w:shd w:fill="f9f9fb" w:val="clear"/>
            <w:tcMar>
              <w:top w:w="0.0" w:type="dxa"/>
              <w:bottom w:w="0.0" w:type="dxa"/>
            </w:tcMar>
          </w:tcPr>
          <w:p w:rsidR="00000000" w:rsidDel="00000000" w:rsidP="00000000" w:rsidRDefault="00000000" w:rsidRPr="00000000" w14:paraId="00000151">
            <w:pPr>
              <w:spacing w:after="0" w:line="371.0460014154282"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60.7</w:t>
            </w:r>
          </w:p>
        </w:tc>
        <w:tc>
          <w:tcPr>
            <w:tcBorders>
              <w:top w:color="aeaeae" w:space="0" w:sz="8" w:val="single"/>
              <w:left w:color="e0e0e0" w:space="0" w:sz="8" w:val="single"/>
              <w:bottom w:color="aeaeae" w:space="0" w:sz="8" w:val="single"/>
              <w:right w:color="000000" w:space="0" w:sz="0" w:val="nil"/>
            </w:tcBorders>
            <w:shd w:fill="f9f9fb" w:val="clear"/>
            <w:tcMar>
              <w:top w:w="0.0" w:type="dxa"/>
              <w:bottom w:w="0.0" w:type="dxa"/>
            </w:tcMar>
          </w:tcPr>
          <w:p w:rsidR="00000000" w:rsidDel="00000000" w:rsidP="00000000" w:rsidRDefault="00000000" w:rsidRPr="00000000" w14:paraId="00000152">
            <w:pPr>
              <w:spacing w:after="0" w:line="371.0460014154282"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100.0</w:t>
            </w:r>
          </w:p>
        </w:tc>
      </w:tr>
      <w:tr>
        <w:trPr>
          <w:cantSplit w:val="1"/>
          <w:tblHeader w:val="0"/>
        </w:trPr>
        <w:tc>
          <w:tcPr>
            <w:vMerge w:val="continue"/>
            <w:tcBorders>
              <w:top w:color="152935" w:space="0" w:sz="8" w:val="single"/>
              <w:left w:color="000000" w:space="0" w:sz="0" w:val="nil"/>
              <w:bottom w:color="152935" w:space="0" w:sz="8" w:val="single"/>
              <w:right w:color="000000" w:space="0" w:sz="0" w:val="nil"/>
            </w:tcBorders>
            <w:shd w:fill="e0e0e0" w:val="clear"/>
            <w:tcMar>
              <w:top w:w="0.0" w:type="dxa"/>
              <w:bottom w:w="0.0" w:type="dxa"/>
            </w:tcM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10205"/>
                <w:sz w:val="18"/>
                <w:szCs w:val="18"/>
              </w:rPr>
            </w:pPr>
            <w:r w:rsidDel="00000000" w:rsidR="00000000" w:rsidRPr="00000000">
              <w:rPr>
                <w:rtl w:val="0"/>
              </w:rPr>
            </w:r>
          </w:p>
        </w:tc>
        <w:tc>
          <w:tcPr>
            <w:tcBorders>
              <w:top w:color="aeaeae" w:space="0" w:sz="8" w:val="single"/>
              <w:left w:color="000000" w:space="0" w:sz="0" w:val="nil"/>
              <w:bottom w:color="152935" w:space="0" w:sz="8" w:val="single"/>
              <w:right w:color="000000" w:space="0" w:sz="0" w:val="nil"/>
            </w:tcBorders>
            <w:shd w:fill="e0e0e0" w:val="clear"/>
            <w:tcMar>
              <w:top w:w="0.0" w:type="dxa"/>
              <w:bottom w:w="0.0" w:type="dxa"/>
            </w:tcMar>
          </w:tcPr>
          <w:p w:rsidR="00000000" w:rsidDel="00000000" w:rsidP="00000000" w:rsidRDefault="00000000" w:rsidRPr="00000000" w14:paraId="00000154">
            <w:pPr>
              <w:spacing w:after="0" w:line="371.0460014154282" w:lineRule="auto"/>
              <w:ind w:left="60" w:right="60" w:firstLine="0"/>
              <w:rPr>
                <w:rFonts w:ascii="Arial" w:cs="Arial" w:eastAsia="Arial" w:hAnsi="Arial"/>
                <w:color w:val="264a60"/>
                <w:sz w:val="18"/>
                <w:szCs w:val="18"/>
              </w:rPr>
            </w:pPr>
            <w:r w:rsidDel="00000000" w:rsidR="00000000" w:rsidRPr="00000000">
              <w:rPr>
                <w:rFonts w:ascii="Arial" w:cs="Arial" w:eastAsia="Arial" w:hAnsi="Arial"/>
                <w:color w:val="264a60"/>
                <w:sz w:val="18"/>
                <w:szCs w:val="18"/>
                <w:rtl w:val="0"/>
              </w:rPr>
              <w:t xml:space="preserve">Total</w:t>
            </w:r>
          </w:p>
        </w:tc>
        <w:tc>
          <w:tcPr>
            <w:tcBorders>
              <w:top w:color="aeaeae" w:space="0" w:sz="8" w:val="single"/>
              <w:left w:color="000000" w:space="0" w:sz="0" w:val="nil"/>
              <w:bottom w:color="152935" w:space="0" w:sz="8" w:val="single"/>
              <w:right w:color="e0e0e0" w:space="0" w:sz="8" w:val="single"/>
            </w:tcBorders>
            <w:shd w:fill="f9f9fb" w:val="clear"/>
            <w:tcMar>
              <w:top w:w="0.0" w:type="dxa"/>
              <w:bottom w:w="0.0" w:type="dxa"/>
            </w:tcMar>
          </w:tcPr>
          <w:p w:rsidR="00000000" w:rsidDel="00000000" w:rsidP="00000000" w:rsidRDefault="00000000" w:rsidRPr="00000000" w14:paraId="00000155">
            <w:pPr>
              <w:spacing w:after="0" w:line="371.0460014154282"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229</w:t>
            </w:r>
          </w:p>
        </w:tc>
        <w:tc>
          <w:tcPr>
            <w:tcBorders>
              <w:top w:color="aeaeae" w:space="0" w:sz="8" w:val="single"/>
              <w:left w:color="e0e0e0" w:space="0" w:sz="8" w:val="single"/>
              <w:bottom w:color="152935" w:space="0" w:sz="8" w:val="single"/>
              <w:right w:color="e0e0e0" w:space="0" w:sz="8" w:val="single"/>
            </w:tcBorders>
            <w:shd w:fill="f9f9fb" w:val="clear"/>
            <w:tcMar>
              <w:top w:w="0.0" w:type="dxa"/>
              <w:bottom w:w="0.0" w:type="dxa"/>
            </w:tcMar>
          </w:tcPr>
          <w:p w:rsidR="00000000" w:rsidDel="00000000" w:rsidP="00000000" w:rsidRDefault="00000000" w:rsidRPr="00000000" w14:paraId="00000156">
            <w:pPr>
              <w:spacing w:after="0" w:line="371.0460014154282"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100.0</w:t>
            </w:r>
          </w:p>
        </w:tc>
        <w:tc>
          <w:tcPr>
            <w:tcBorders>
              <w:top w:color="aeaeae" w:space="0" w:sz="8" w:val="single"/>
              <w:left w:color="e0e0e0" w:space="0" w:sz="8" w:val="single"/>
              <w:bottom w:color="152935" w:space="0" w:sz="8" w:val="single"/>
              <w:right w:color="e0e0e0" w:space="0" w:sz="8" w:val="single"/>
            </w:tcBorders>
            <w:shd w:fill="f9f9fb" w:val="clear"/>
            <w:tcMar>
              <w:top w:w="0.0" w:type="dxa"/>
              <w:bottom w:w="0.0" w:type="dxa"/>
            </w:tcMar>
          </w:tcPr>
          <w:p w:rsidR="00000000" w:rsidDel="00000000" w:rsidP="00000000" w:rsidRDefault="00000000" w:rsidRPr="00000000" w14:paraId="00000157">
            <w:pPr>
              <w:spacing w:after="0" w:line="371.0460014154282"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100.0</w:t>
            </w:r>
          </w:p>
        </w:tc>
        <w:tc>
          <w:tcPr>
            <w:tcBorders>
              <w:top w:color="aeaeae" w:space="0" w:sz="8" w:val="single"/>
              <w:left w:color="e0e0e0" w:space="0" w:sz="8" w:val="single"/>
              <w:bottom w:color="152935" w:space="0" w:sz="8" w:val="single"/>
              <w:right w:color="000000" w:space="0" w:sz="0" w:val="nil"/>
            </w:tcBorders>
            <w:shd w:fill="f9f9fb" w:val="clear"/>
            <w:tcMar>
              <w:top w:w="0.0" w:type="dxa"/>
              <w:bottom w:w="0.0" w:type="dxa"/>
            </w:tcMar>
            <w:vAlign w:val="center"/>
          </w:tcPr>
          <w:p w:rsidR="00000000" w:rsidDel="00000000" w:rsidP="00000000" w:rsidRDefault="00000000" w:rsidRPr="00000000" w14:paraId="00000158">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9">
      <w:pPr>
        <w:spacing w:after="0" w:line="379.478865083960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498215"/>
            <wp:effectExtent b="0" l="0" r="0" t="0"/>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498215"/>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spacing w:after="0" w:line="379.478865083960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khách hàng tham gia khảo sát là nữ giới chiếm đa số (60,7%), cao hơn đáng kể so với nam giới (39,3%). Điều này phản ánh đúng thực tế hành vi tiêu dùng trực tuyến, khi phái nữ thường có tần suất và nhu cầu mua sắm hàng hóa (thời trang, mỹ phẩm, đồ gia dụng...) trên các sàn thương mại điện tử cao hơn. </w:t>
      </w:r>
    </w:p>
    <w:p w:rsidR="00000000" w:rsidDel="00000000" w:rsidP="00000000" w:rsidRDefault="00000000" w:rsidRPr="00000000" w14:paraId="0000015E">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F">
      <w:pPr>
        <w:spacing w:after="0" w:line="240" w:lineRule="auto"/>
        <w:rPr>
          <w:rFonts w:ascii="Times New Roman" w:cs="Times New Roman" w:eastAsia="Times New Roman" w:hAnsi="Times New Roman"/>
          <w:sz w:val="26"/>
          <w:szCs w:val="26"/>
        </w:rPr>
      </w:pPr>
      <w:r w:rsidDel="00000000" w:rsidR="00000000" w:rsidRPr="00000000">
        <w:rPr>
          <w:rtl w:val="0"/>
        </w:rPr>
      </w:r>
    </w:p>
    <w:tbl>
      <w:tblPr>
        <w:tblStyle w:val="Table9"/>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695"/>
        <w:gridCol w:w="1170"/>
        <w:gridCol w:w="1035"/>
        <w:gridCol w:w="1395"/>
        <w:gridCol w:w="1470"/>
        <w:tblGridChange w:id="0">
          <w:tblGrid>
            <w:gridCol w:w="735"/>
            <w:gridCol w:w="1695"/>
            <w:gridCol w:w="1170"/>
            <w:gridCol w:w="1035"/>
            <w:gridCol w:w="1395"/>
            <w:gridCol w:w="1470"/>
          </w:tblGrid>
        </w:tblGridChange>
      </w:tblGrid>
      <w:tr>
        <w:trPr>
          <w:cantSplit w:val="0"/>
          <w:trHeight w:val="315" w:hRule="atLeast"/>
          <w:tblHeader w:val="0"/>
        </w:trPr>
        <w:tc>
          <w:tcPr>
            <w:gridSpan w:val="6"/>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60">
            <w:pPr>
              <w:spacing w:after="0" w:line="349.09090909090907" w:lineRule="auto"/>
              <w:ind w:left="60" w:right="60" w:firstLine="0"/>
              <w:jc w:val="center"/>
              <w:rPr>
                <w:rFonts w:ascii="Arial" w:cs="Arial" w:eastAsia="Arial" w:hAnsi="Arial"/>
                <w:b w:val="1"/>
                <w:bCs w:val="1"/>
                <w:color w:val="010205"/>
                <w:sz w:val="22"/>
                <w:szCs w:val="22"/>
              </w:rPr>
            </w:pPr>
            <w:r w:rsidDel="00000000" w:rsidR="00000000" w:rsidRPr="00000000">
              <w:rPr>
                <w:rFonts w:ascii="Arial" w:cs="Arial" w:eastAsia="Arial" w:hAnsi="Arial"/>
                <w:b w:val="1"/>
                <w:bCs w:val="1"/>
                <w:color w:val="010205"/>
                <w:sz w:val="22"/>
                <w:szCs w:val="22"/>
                <w:rtl w:val="0"/>
              </w:rPr>
              <w:t xml:space="preserve">DoTuoi</w:t>
            </w:r>
          </w:p>
        </w:tc>
      </w:tr>
      <w:tr>
        <w:trPr>
          <w:cantSplit w:val="0"/>
          <w:trHeight w:val="645" w:hRule="atLeast"/>
          <w:tblHeader w:val="0"/>
        </w:trPr>
        <w:tc>
          <w:tcPr>
            <w:gridSpan w:val="2"/>
            <w:tcBorders>
              <w:top w:color="000000" w:space="0" w:sz="0" w:val="nil"/>
              <w:left w:color="000000" w:space="0" w:sz="0" w:val="nil"/>
              <w:bottom w:color="152935" w:space="0" w:sz="5" w:val="single"/>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166">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152935" w:space="0" w:sz="5" w:val="single"/>
              <w:right w:color="e0e0e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168">
            <w:pPr>
              <w:spacing w:after="0" w:line="349.09090909090907" w:lineRule="auto"/>
              <w:ind w:left="60" w:right="60" w:firstLine="0"/>
              <w:jc w:val="center"/>
              <w:rPr>
                <w:rFonts w:ascii="Arial" w:cs="Arial" w:eastAsia="Arial" w:hAnsi="Arial"/>
                <w:color w:val="264a60"/>
                <w:sz w:val="18"/>
                <w:szCs w:val="18"/>
              </w:rPr>
            </w:pPr>
            <w:r w:rsidDel="00000000" w:rsidR="00000000" w:rsidRPr="00000000">
              <w:rPr>
                <w:rFonts w:ascii="Arial" w:cs="Arial" w:eastAsia="Arial" w:hAnsi="Arial"/>
                <w:color w:val="264a60"/>
                <w:sz w:val="18"/>
                <w:szCs w:val="18"/>
                <w:rtl w:val="0"/>
              </w:rPr>
              <w:t xml:space="preserve">Frequency</w:t>
            </w:r>
          </w:p>
        </w:tc>
        <w:tc>
          <w:tcPr>
            <w:tcBorders>
              <w:top w:color="000000" w:space="0" w:sz="0" w:val="nil"/>
              <w:left w:color="000000" w:space="0" w:sz="0" w:val="nil"/>
              <w:bottom w:color="152935" w:space="0" w:sz="5" w:val="single"/>
              <w:right w:color="e0e0e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169">
            <w:pPr>
              <w:spacing w:after="0" w:line="349.09090909090907" w:lineRule="auto"/>
              <w:ind w:left="60" w:right="60" w:firstLine="0"/>
              <w:jc w:val="center"/>
              <w:rPr>
                <w:rFonts w:ascii="Arial" w:cs="Arial" w:eastAsia="Arial" w:hAnsi="Arial"/>
                <w:color w:val="264a60"/>
                <w:sz w:val="18"/>
                <w:szCs w:val="18"/>
              </w:rPr>
            </w:pPr>
            <w:r w:rsidDel="00000000" w:rsidR="00000000" w:rsidRPr="00000000">
              <w:rPr>
                <w:rFonts w:ascii="Arial" w:cs="Arial" w:eastAsia="Arial" w:hAnsi="Arial"/>
                <w:color w:val="264a60"/>
                <w:sz w:val="18"/>
                <w:szCs w:val="18"/>
                <w:rtl w:val="0"/>
              </w:rPr>
              <w:t xml:space="preserve">Percent</w:t>
            </w:r>
          </w:p>
        </w:tc>
        <w:tc>
          <w:tcPr>
            <w:tcBorders>
              <w:top w:color="000000" w:space="0" w:sz="0" w:val="nil"/>
              <w:left w:color="000000" w:space="0" w:sz="0" w:val="nil"/>
              <w:bottom w:color="152935" w:space="0" w:sz="5" w:val="single"/>
              <w:right w:color="e0e0e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16A">
            <w:pPr>
              <w:spacing w:after="0" w:line="349.09090909090907" w:lineRule="auto"/>
              <w:ind w:left="60" w:right="60" w:firstLine="0"/>
              <w:jc w:val="center"/>
              <w:rPr>
                <w:rFonts w:ascii="Arial" w:cs="Arial" w:eastAsia="Arial" w:hAnsi="Arial"/>
                <w:color w:val="264a60"/>
                <w:sz w:val="18"/>
                <w:szCs w:val="18"/>
              </w:rPr>
            </w:pPr>
            <w:r w:rsidDel="00000000" w:rsidR="00000000" w:rsidRPr="00000000">
              <w:rPr>
                <w:rFonts w:ascii="Arial" w:cs="Arial" w:eastAsia="Arial" w:hAnsi="Arial"/>
                <w:color w:val="264a60"/>
                <w:sz w:val="18"/>
                <w:szCs w:val="18"/>
                <w:rtl w:val="0"/>
              </w:rPr>
              <w:t xml:space="preserve">Valid Percent</w:t>
            </w:r>
          </w:p>
        </w:tc>
        <w:tc>
          <w:tcPr>
            <w:tcBorders>
              <w:top w:color="000000" w:space="0" w:sz="0" w:val="nil"/>
              <w:left w:color="000000" w:space="0" w:sz="0" w:val="nil"/>
              <w:bottom w:color="152935" w:space="0" w:sz="5" w:val="single"/>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16B">
            <w:pPr>
              <w:spacing w:after="0" w:line="349.09090909090907" w:lineRule="auto"/>
              <w:ind w:left="60" w:right="60" w:firstLine="0"/>
              <w:jc w:val="center"/>
              <w:rPr>
                <w:rFonts w:ascii="Arial" w:cs="Arial" w:eastAsia="Arial" w:hAnsi="Arial"/>
                <w:color w:val="264a60"/>
                <w:sz w:val="18"/>
                <w:szCs w:val="18"/>
              </w:rPr>
            </w:pPr>
            <w:r w:rsidDel="00000000" w:rsidR="00000000" w:rsidRPr="00000000">
              <w:rPr>
                <w:rFonts w:ascii="Arial" w:cs="Arial" w:eastAsia="Arial" w:hAnsi="Arial"/>
                <w:color w:val="264a60"/>
                <w:sz w:val="18"/>
                <w:szCs w:val="18"/>
                <w:rtl w:val="0"/>
              </w:rPr>
              <w:t xml:space="preserve">Cumulative Percent</w:t>
            </w:r>
          </w:p>
        </w:tc>
      </w:tr>
      <w:tr>
        <w:trPr>
          <w:cantSplit w:val="0"/>
          <w:trHeight w:val="330" w:hRule="atLeast"/>
          <w:tblHeader w:val="0"/>
        </w:trPr>
        <w:tc>
          <w:tcPr>
            <w:vMerge w:val="restart"/>
            <w:tcBorders>
              <w:top w:color="000000" w:space="0" w:sz="0" w:val="nil"/>
              <w:left w:color="000000" w:space="0" w:sz="0" w:val="nil"/>
              <w:bottom w:color="152935" w:space="0" w:sz="5" w:val="single"/>
              <w:right w:color="000000" w:space="0" w:sz="0" w:val="nil"/>
            </w:tcBorders>
            <w:shd w:fill="e0e0e0" w:val="clear"/>
            <w:tcMar>
              <w:top w:w="0.0" w:type="dxa"/>
              <w:left w:w="0.0" w:type="dxa"/>
              <w:bottom w:w="0.0" w:type="dxa"/>
              <w:right w:w="0.0" w:type="dxa"/>
            </w:tcMar>
            <w:vAlign w:val="top"/>
          </w:tcPr>
          <w:p w:rsidR="00000000" w:rsidDel="00000000" w:rsidP="00000000" w:rsidRDefault="00000000" w:rsidRPr="00000000" w14:paraId="0000016C">
            <w:pPr>
              <w:spacing w:after="0" w:line="349.09090909090907" w:lineRule="auto"/>
              <w:ind w:left="60" w:right="60" w:firstLine="0"/>
              <w:rPr>
                <w:rFonts w:ascii="Arial" w:cs="Arial" w:eastAsia="Arial" w:hAnsi="Arial"/>
                <w:color w:val="264a60"/>
                <w:sz w:val="18"/>
                <w:szCs w:val="18"/>
              </w:rPr>
            </w:pPr>
            <w:r w:rsidDel="00000000" w:rsidR="00000000" w:rsidRPr="00000000">
              <w:rPr>
                <w:rFonts w:ascii="Arial" w:cs="Arial" w:eastAsia="Arial" w:hAnsi="Arial"/>
                <w:color w:val="264a60"/>
                <w:sz w:val="18"/>
                <w:szCs w:val="18"/>
                <w:rtl w:val="0"/>
              </w:rPr>
              <w:t xml:space="preserve">Valid</w:t>
            </w:r>
          </w:p>
        </w:tc>
        <w:tc>
          <w:tcPr>
            <w:tcBorders>
              <w:top w:color="000000" w:space="0" w:sz="0" w:val="nil"/>
              <w:left w:color="000000" w:space="0" w:sz="0" w:val="nil"/>
              <w:bottom w:color="aeaeae" w:space="0" w:sz="5" w:val="single"/>
              <w:right w:color="000000" w:space="0" w:sz="0" w:val="nil"/>
            </w:tcBorders>
            <w:shd w:fill="e0e0e0" w:val="clear"/>
            <w:tcMar>
              <w:top w:w="0.0" w:type="dxa"/>
              <w:left w:w="0.0" w:type="dxa"/>
              <w:bottom w:w="0.0" w:type="dxa"/>
              <w:right w:w="0.0" w:type="dxa"/>
            </w:tcMar>
            <w:vAlign w:val="top"/>
          </w:tcPr>
          <w:p w:rsidR="00000000" w:rsidDel="00000000" w:rsidP="00000000" w:rsidRDefault="00000000" w:rsidRPr="00000000" w14:paraId="0000016D">
            <w:pPr>
              <w:spacing w:after="0" w:line="349.09090909090907" w:lineRule="auto"/>
              <w:ind w:left="60" w:right="60" w:firstLine="0"/>
              <w:rPr>
                <w:rFonts w:ascii="Arial" w:cs="Arial" w:eastAsia="Arial" w:hAnsi="Arial"/>
                <w:color w:val="264a60"/>
                <w:sz w:val="18"/>
                <w:szCs w:val="18"/>
              </w:rPr>
            </w:pPr>
            <w:r w:rsidDel="00000000" w:rsidR="00000000" w:rsidRPr="00000000">
              <w:rPr>
                <w:rFonts w:ascii="Arial" w:cs="Arial" w:eastAsia="Arial" w:hAnsi="Arial"/>
                <w:color w:val="264a60"/>
                <w:sz w:val="18"/>
                <w:szCs w:val="18"/>
                <w:rtl w:val="0"/>
              </w:rPr>
              <w:t xml:space="preserve">Từ 18 – 24 tuổi</w:t>
            </w:r>
          </w:p>
        </w:tc>
        <w:tc>
          <w:tcPr>
            <w:tcBorders>
              <w:top w:color="000000" w:space="0" w:sz="0" w:val="nil"/>
              <w:left w:color="000000" w:space="0" w:sz="0" w:val="nil"/>
              <w:bottom w:color="aeaeae" w:space="0" w:sz="5" w:val="single"/>
              <w:right w:color="e0e0e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6E">
            <w:pPr>
              <w:spacing w:after="0" w:line="349.09090909090907"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90</w:t>
            </w:r>
          </w:p>
        </w:tc>
        <w:tc>
          <w:tcPr>
            <w:tcBorders>
              <w:top w:color="000000" w:space="0" w:sz="0" w:val="nil"/>
              <w:left w:color="000000" w:space="0" w:sz="0" w:val="nil"/>
              <w:bottom w:color="aeaeae" w:space="0" w:sz="5" w:val="single"/>
              <w:right w:color="e0e0e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6F">
            <w:pPr>
              <w:spacing w:after="0" w:line="349.09090909090907"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39.3</w:t>
            </w:r>
          </w:p>
        </w:tc>
        <w:tc>
          <w:tcPr>
            <w:tcBorders>
              <w:top w:color="000000" w:space="0" w:sz="0" w:val="nil"/>
              <w:left w:color="000000" w:space="0" w:sz="0" w:val="nil"/>
              <w:bottom w:color="aeaeae" w:space="0" w:sz="5" w:val="single"/>
              <w:right w:color="e0e0e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70">
            <w:pPr>
              <w:spacing w:after="0" w:line="349.09090909090907"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39.3</w:t>
            </w:r>
          </w:p>
        </w:tc>
        <w:tc>
          <w:tcPr>
            <w:tcBorders>
              <w:top w:color="000000" w:space="0" w:sz="0" w:val="nil"/>
              <w:left w:color="000000" w:space="0" w:sz="0" w:val="nil"/>
              <w:bottom w:color="aeaeae" w:space="0" w:sz="5" w:val="single"/>
              <w:right w:color="000000" w:space="0" w:sz="0" w:val="nil"/>
            </w:tcBorders>
            <w:shd w:fill="f9f9fb" w:val="clear"/>
            <w:tcMar>
              <w:top w:w="0.0" w:type="dxa"/>
              <w:left w:w="0.0" w:type="dxa"/>
              <w:bottom w:w="0.0" w:type="dxa"/>
              <w:right w:w="0.0" w:type="dxa"/>
            </w:tcMar>
            <w:vAlign w:val="top"/>
          </w:tcPr>
          <w:p w:rsidR="00000000" w:rsidDel="00000000" w:rsidP="00000000" w:rsidRDefault="00000000" w:rsidRPr="00000000" w14:paraId="00000171">
            <w:pPr>
              <w:spacing w:after="0" w:line="349.09090909090907"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39.3</w:t>
            </w:r>
          </w:p>
        </w:tc>
      </w:tr>
      <w:tr>
        <w:trPr>
          <w:cantSplit w:val="0"/>
          <w:trHeight w:val="330" w:hRule="atLeast"/>
          <w:tblHeader w:val="0"/>
        </w:trPr>
        <w:tc>
          <w:tcPr>
            <w:vMerge w:val="continue"/>
            <w:tcBorders>
              <w:top w:color="000000" w:space="0" w:sz="0" w:val="nil"/>
              <w:left w:color="000000" w:space="0" w:sz="0" w:val="nil"/>
              <w:bottom w:color="152935"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2">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aeaeae" w:space="0" w:sz="5" w:val="single"/>
              <w:right w:color="000000" w:space="0" w:sz="0" w:val="nil"/>
            </w:tcBorders>
            <w:shd w:fill="e0e0e0" w:val="clear"/>
            <w:tcMar>
              <w:top w:w="0.0" w:type="dxa"/>
              <w:left w:w="0.0" w:type="dxa"/>
              <w:bottom w:w="0.0" w:type="dxa"/>
              <w:right w:w="0.0" w:type="dxa"/>
            </w:tcMar>
            <w:vAlign w:val="top"/>
          </w:tcPr>
          <w:p w:rsidR="00000000" w:rsidDel="00000000" w:rsidP="00000000" w:rsidRDefault="00000000" w:rsidRPr="00000000" w14:paraId="00000173">
            <w:pPr>
              <w:spacing w:after="0" w:line="349.09090909090907" w:lineRule="auto"/>
              <w:ind w:left="60" w:right="60" w:firstLine="0"/>
              <w:rPr>
                <w:rFonts w:ascii="Arial" w:cs="Arial" w:eastAsia="Arial" w:hAnsi="Arial"/>
                <w:color w:val="264a60"/>
                <w:sz w:val="18"/>
                <w:szCs w:val="18"/>
              </w:rPr>
            </w:pPr>
            <w:r w:rsidDel="00000000" w:rsidR="00000000" w:rsidRPr="00000000">
              <w:rPr>
                <w:rFonts w:ascii="Arial" w:cs="Arial" w:eastAsia="Arial" w:hAnsi="Arial"/>
                <w:color w:val="264a60"/>
                <w:sz w:val="18"/>
                <w:szCs w:val="18"/>
                <w:rtl w:val="0"/>
              </w:rPr>
              <w:t xml:space="preserve">Từ 25 – 34 tuổi</w:t>
            </w:r>
          </w:p>
        </w:tc>
        <w:tc>
          <w:tcPr>
            <w:tcBorders>
              <w:top w:color="000000" w:space="0" w:sz="0" w:val="nil"/>
              <w:left w:color="000000" w:space="0" w:sz="0" w:val="nil"/>
              <w:bottom w:color="aeaeae" w:space="0" w:sz="5" w:val="single"/>
              <w:right w:color="e0e0e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74">
            <w:pPr>
              <w:spacing w:after="0" w:line="349.09090909090907"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60</w:t>
            </w:r>
          </w:p>
        </w:tc>
        <w:tc>
          <w:tcPr>
            <w:tcBorders>
              <w:top w:color="000000" w:space="0" w:sz="0" w:val="nil"/>
              <w:left w:color="000000" w:space="0" w:sz="0" w:val="nil"/>
              <w:bottom w:color="aeaeae" w:space="0" w:sz="5" w:val="single"/>
              <w:right w:color="e0e0e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75">
            <w:pPr>
              <w:spacing w:after="0" w:line="349.09090909090907"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26.2</w:t>
            </w:r>
          </w:p>
        </w:tc>
        <w:tc>
          <w:tcPr>
            <w:tcBorders>
              <w:top w:color="000000" w:space="0" w:sz="0" w:val="nil"/>
              <w:left w:color="000000" w:space="0" w:sz="0" w:val="nil"/>
              <w:bottom w:color="aeaeae" w:space="0" w:sz="5" w:val="single"/>
              <w:right w:color="e0e0e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76">
            <w:pPr>
              <w:spacing w:after="0" w:line="349.09090909090907"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26.2</w:t>
            </w:r>
          </w:p>
        </w:tc>
        <w:tc>
          <w:tcPr>
            <w:tcBorders>
              <w:top w:color="000000" w:space="0" w:sz="0" w:val="nil"/>
              <w:left w:color="000000" w:space="0" w:sz="0" w:val="nil"/>
              <w:bottom w:color="aeaeae" w:space="0" w:sz="5" w:val="single"/>
              <w:right w:color="000000" w:space="0" w:sz="0" w:val="nil"/>
            </w:tcBorders>
            <w:shd w:fill="f9f9fb" w:val="clear"/>
            <w:tcMar>
              <w:top w:w="0.0" w:type="dxa"/>
              <w:left w:w="0.0" w:type="dxa"/>
              <w:bottom w:w="0.0" w:type="dxa"/>
              <w:right w:w="0.0" w:type="dxa"/>
            </w:tcMar>
            <w:vAlign w:val="top"/>
          </w:tcPr>
          <w:p w:rsidR="00000000" w:rsidDel="00000000" w:rsidP="00000000" w:rsidRDefault="00000000" w:rsidRPr="00000000" w14:paraId="00000177">
            <w:pPr>
              <w:spacing w:after="0" w:line="349.09090909090907"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65.5</w:t>
            </w:r>
          </w:p>
        </w:tc>
      </w:tr>
      <w:tr>
        <w:trPr>
          <w:cantSplit w:val="0"/>
          <w:trHeight w:val="330" w:hRule="atLeast"/>
          <w:tblHeader w:val="0"/>
        </w:trPr>
        <w:tc>
          <w:tcPr>
            <w:vMerge w:val="continue"/>
            <w:tcBorders>
              <w:top w:color="000000" w:space="0" w:sz="0" w:val="nil"/>
              <w:left w:color="000000" w:space="0" w:sz="0" w:val="nil"/>
              <w:bottom w:color="152935"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8">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aeaeae" w:space="0" w:sz="5" w:val="single"/>
              <w:right w:color="000000" w:space="0" w:sz="0" w:val="nil"/>
            </w:tcBorders>
            <w:shd w:fill="e0e0e0" w:val="clear"/>
            <w:tcMar>
              <w:top w:w="0.0" w:type="dxa"/>
              <w:left w:w="0.0" w:type="dxa"/>
              <w:bottom w:w="0.0" w:type="dxa"/>
              <w:right w:w="0.0" w:type="dxa"/>
            </w:tcMar>
            <w:vAlign w:val="top"/>
          </w:tcPr>
          <w:p w:rsidR="00000000" w:rsidDel="00000000" w:rsidP="00000000" w:rsidRDefault="00000000" w:rsidRPr="00000000" w14:paraId="00000179">
            <w:pPr>
              <w:spacing w:after="0" w:line="349.09090909090907" w:lineRule="auto"/>
              <w:ind w:left="60" w:right="60" w:firstLine="0"/>
              <w:rPr>
                <w:rFonts w:ascii="Arial" w:cs="Arial" w:eastAsia="Arial" w:hAnsi="Arial"/>
                <w:color w:val="264a60"/>
                <w:sz w:val="18"/>
                <w:szCs w:val="18"/>
              </w:rPr>
            </w:pPr>
            <w:r w:rsidDel="00000000" w:rsidR="00000000" w:rsidRPr="00000000">
              <w:rPr>
                <w:rFonts w:ascii="Arial" w:cs="Arial" w:eastAsia="Arial" w:hAnsi="Arial"/>
                <w:color w:val="264a60"/>
                <w:sz w:val="18"/>
                <w:szCs w:val="18"/>
                <w:rtl w:val="0"/>
              </w:rPr>
              <w:t xml:space="preserve">Từ 35 – 44 tuổi</w:t>
            </w:r>
          </w:p>
        </w:tc>
        <w:tc>
          <w:tcPr>
            <w:tcBorders>
              <w:top w:color="000000" w:space="0" w:sz="0" w:val="nil"/>
              <w:left w:color="000000" w:space="0" w:sz="0" w:val="nil"/>
              <w:bottom w:color="aeaeae" w:space="0" w:sz="5" w:val="single"/>
              <w:right w:color="e0e0e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7A">
            <w:pPr>
              <w:spacing w:after="0" w:line="349.09090909090907"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46</w:t>
            </w:r>
          </w:p>
        </w:tc>
        <w:tc>
          <w:tcPr>
            <w:tcBorders>
              <w:top w:color="000000" w:space="0" w:sz="0" w:val="nil"/>
              <w:left w:color="000000" w:space="0" w:sz="0" w:val="nil"/>
              <w:bottom w:color="aeaeae" w:space="0" w:sz="5" w:val="single"/>
              <w:right w:color="e0e0e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7B">
            <w:pPr>
              <w:spacing w:after="0" w:line="349.09090909090907"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20.1</w:t>
            </w:r>
          </w:p>
        </w:tc>
        <w:tc>
          <w:tcPr>
            <w:tcBorders>
              <w:top w:color="000000" w:space="0" w:sz="0" w:val="nil"/>
              <w:left w:color="000000" w:space="0" w:sz="0" w:val="nil"/>
              <w:bottom w:color="aeaeae" w:space="0" w:sz="5" w:val="single"/>
              <w:right w:color="e0e0e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7C">
            <w:pPr>
              <w:spacing w:after="0" w:line="349.09090909090907"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20.1</w:t>
            </w:r>
          </w:p>
        </w:tc>
        <w:tc>
          <w:tcPr>
            <w:tcBorders>
              <w:top w:color="000000" w:space="0" w:sz="0" w:val="nil"/>
              <w:left w:color="000000" w:space="0" w:sz="0" w:val="nil"/>
              <w:bottom w:color="aeaeae" w:space="0" w:sz="5" w:val="single"/>
              <w:right w:color="000000" w:space="0" w:sz="0" w:val="nil"/>
            </w:tcBorders>
            <w:shd w:fill="f9f9fb" w:val="clear"/>
            <w:tcMar>
              <w:top w:w="0.0" w:type="dxa"/>
              <w:left w:w="0.0" w:type="dxa"/>
              <w:bottom w:w="0.0" w:type="dxa"/>
              <w:right w:w="0.0" w:type="dxa"/>
            </w:tcMar>
            <w:vAlign w:val="top"/>
          </w:tcPr>
          <w:p w:rsidR="00000000" w:rsidDel="00000000" w:rsidP="00000000" w:rsidRDefault="00000000" w:rsidRPr="00000000" w14:paraId="0000017D">
            <w:pPr>
              <w:spacing w:after="0" w:line="349.09090909090907"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85.6</w:t>
            </w:r>
          </w:p>
        </w:tc>
      </w:tr>
      <w:tr>
        <w:trPr>
          <w:cantSplit w:val="0"/>
          <w:trHeight w:val="330" w:hRule="atLeast"/>
          <w:tblHeader w:val="0"/>
        </w:trPr>
        <w:tc>
          <w:tcPr>
            <w:vMerge w:val="continue"/>
            <w:tcBorders>
              <w:top w:color="000000" w:space="0" w:sz="0" w:val="nil"/>
              <w:left w:color="000000" w:space="0" w:sz="0" w:val="nil"/>
              <w:bottom w:color="152935"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E">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aeaeae" w:space="0" w:sz="5" w:val="single"/>
              <w:right w:color="000000" w:space="0" w:sz="0" w:val="nil"/>
            </w:tcBorders>
            <w:shd w:fill="e0e0e0" w:val="clear"/>
            <w:tcMar>
              <w:top w:w="0.0" w:type="dxa"/>
              <w:left w:w="0.0" w:type="dxa"/>
              <w:bottom w:w="0.0" w:type="dxa"/>
              <w:right w:w="0.0" w:type="dxa"/>
            </w:tcMar>
            <w:vAlign w:val="top"/>
          </w:tcPr>
          <w:p w:rsidR="00000000" w:rsidDel="00000000" w:rsidP="00000000" w:rsidRDefault="00000000" w:rsidRPr="00000000" w14:paraId="0000017F">
            <w:pPr>
              <w:spacing w:after="0" w:line="349.09090909090907" w:lineRule="auto"/>
              <w:ind w:left="60" w:right="60" w:firstLine="0"/>
              <w:rPr>
                <w:rFonts w:ascii="Arial" w:cs="Arial" w:eastAsia="Arial" w:hAnsi="Arial"/>
                <w:color w:val="264a60"/>
                <w:sz w:val="18"/>
                <w:szCs w:val="18"/>
              </w:rPr>
            </w:pPr>
            <w:r w:rsidDel="00000000" w:rsidR="00000000" w:rsidRPr="00000000">
              <w:rPr>
                <w:rFonts w:ascii="Arial" w:cs="Arial" w:eastAsia="Arial" w:hAnsi="Arial"/>
                <w:color w:val="264a60"/>
                <w:sz w:val="18"/>
                <w:szCs w:val="18"/>
                <w:rtl w:val="0"/>
              </w:rPr>
              <w:t xml:space="preserve">Từ 45 tuổi trở lên</w:t>
            </w:r>
          </w:p>
        </w:tc>
        <w:tc>
          <w:tcPr>
            <w:tcBorders>
              <w:top w:color="000000" w:space="0" w:sz="0" w:val="nil"/>
              <w:left w:color="000000" w:space="0" w:sz="0" w:val="nil"/>
              <w:bottom w:color="aeaeae" w:space="0" w:sz="5" w:val="single"/>
              <w:right w:color="e0e0e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80">
            <w:pPr>
              <w:spacing w:after="0" w:line="349.09090909090907"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33</w:t>
            </w:r>
          </w:p>
        </w:tc>
        <w:tc>
          <w:tcPr>
            <w:tcBorders>
              <w:top w:color="000000" w:space="0" w:sz="0" w:val="nil"/>
              <w:left w:color="000000" w:space="0" w:sz="0" w:val="nil"/>
              <w:bottom w:color="aeaeae" w:space="0" w:sz="5" w:val="single"/>
              <w:right w:color="e0e0e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81">
            <w:pPr>
              <w:spacing w:after="0" w:line="349.09090909090907"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14.4</w:t>
            </w:r>
          </w:p>
        </w:tc>
        <w:tc>
          <w:tcPr>
            <w:tcBorders>
              <w:top w:color="000000" w:space="0" w:sz="0" w:val="nil"/>
              <w:left w:color="000000" w:space="0" w:sz="0" w:val="nil"/>
              <w:bottom w:color="aeaeae" w:space="0" w:sz="5" w:val="single"/>
              <w:right w:color="e0e0e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82">
            <w:pPr>
              <w:spacing w:after="0" w:line="349.09090909090907"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14.4</w:t>
            </w:r>
          </w:p>
        </w:tc>
        <w:tc>
          <w:tcPr>
            <w:tcBorders>
              <w:top w:color="000000" w:space="0" w:sz="0" w:val="nil"/>
              <w:left w:color="000000" w:space="0" w:sz="0" w:val="nil"/>
              <w:bottom w:color="aeaeae" w:space="0" w:sz="5" w:val="single"/>
              <w:right w:color="000000" w:space="0" w:sz="0" w:val="nil"/>
            </w:tcBorders>
            <w:shd w:fill="f9f9fb" w:val="clear"/>
            <w:tcMar>
              <w:top w:w="0.0" w:type="dxa"/>
              <w:left w:w="0.0" w:type="dxa"/>
              <w:bottom w:w="0.0" w:type="dxa"/>
              <w:right w:w="0.0" w:type="dxa"/>
            </w:tcMar>
            <w:vAlign w:val="top"/>
          </w:tcPr>
          <w:p w:rsidR="00000000" w:rsidDel="00000000" w:rsidP="00000000" w:rsidRDefault="00000000" w:rsidRPr="00000000" w14:paraId="00000183">
            <w:pPr>
              <w:spacing w:after="0" w:line="349.09090909090907"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100.0</w:t>
            </w:r>
          </w:p>
        </w:tc>
      </w:tr>
      <w:tr>
        <w:trPr>
          <w:cantSplit w:val="0"/>
          <w:trHeight w:val="330" w:hRule="atLeast"/>
          <w:tblHeader w:val="0"/>
        </w:trPr>
        <w:tc>
          <w:tcPr>
            <w:vMerge w:val="continue"/>
            <w:tcBorders>
              <w:top w:color="000000" w:space="0" w:sz="0" w:val="nil"/>
              <w:left w:color="000000" w:space="0" w:sz="0" w:val="nil"/>
              <w:bottom w:color="152935"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4">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152935" w:space="0" w:sz="5" w:val="single"/>
              <w:right w:color="000000" w:space="0" w:sz="0" w:val="nil"/>
            </w:tcBorders>
            <w:shd w:fill="e0e0e0" w:val="clear"/>
            <w:tcMar>
              <w:top w:w="0.0" w:type="dxa"/>
              <w:left w:w="0.0" w:type="dxa"/>
              <w:bottom w:w="0.0" w:type="dxa"/>
              <w:right w:w="0.0" w:type="dxa"/>
            </w:tcMar>
            <w:vAlign w:val="top"/>
          </w:tcPr>
          <w:p w:rsidR="00000000" w:rsidDel="00000000" w:rsidP="00000000" w:rsidRDefault="00000000" w:rsidRPr="00000000" w14:paraId="00000185">
            <w:pPr>
              <w:spacing w:after="0" w:line="349.09090909090907" w:lineRule="auto"/>
              <w:ind w:left="60" w:right="60" w:firstLine="0"/>
              <w:rPr>
                <w:rFonts w:ascii="Arial" w:cs="Arial" w:eastAsia="Arial" w:hAnsi="Arial"/>
                <w:color w:val="264a60"/>
                <w:sz w:val="18"/>
                <w:szCs w:val="18"/>
              </w:rPr>
            </w:pPr>
            <w:r w:rsidDel="00000000" w:rsidR="00000000" w:rsidRPr="00000000">
              <w:rPr>
                <w:rFonts w:ascii="Arial" w:cs="Arial" w:eastAsia="Arial" w:hAnsi="Arial"/>
                <w:color w:val="264a60"/>
                <w:sz w:val="18"/>
                <w:szCs w:val="18"/>
                <w:rtl w:val="0"/>
              </w:rPr>
              <w:t xml:space="preserve">Total</w:t>
            </w:r>
          </w:p>
        </w:tc>
        <w:tc>
          <w:tcPr>
            <w:tcBorders>
              <w:top w:color="000000" w:space="0" w:sz="0" w:val="nil"/>
              <w:left w:color="000000" w:space="0" w:sz="0" w:val="nil"/>
              <w:bottom w:color="152935" w:space="0" w:sz="5" w:val="single"/>
              <w:right w:color="e0e0e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86">
            <w:pPr>
              <w:spacing w:after="0" w:line="349.09090909090907"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229</w:t>
            </w:r>
          </w:p>
        </w:tc>
        <w:tc>
          <w:tcPr>
            <w:tcBorders>
              <w:top w:color="000000" w:space="0" w:sz="0" w:val="nil"/>
              <w:left w:color="000000" w:space="0" w:sz="0" w:val="nil"/>
              <w:bottom w:color="152935" w:space="0" w:sz="5" w:val="single"/>
              <w:right w:color="e0e0e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87">
            <w:pPr>
              <w:spacing w:after="0" w:line="349.09090909090907"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100.0</w:t>
            </w:r>
          </w:p>
        </w:tc>
        <w:tc>
          <w:tcPr>
            <w:tcBorders>
              <w:top w:color="000000" w:space="0" w:sz="0" w:val="nil"/>
              <w:left w:color="000000" w:space="0" w:sz="0" w:val="nil"/>
              <w:bottom w:color="152935" w:space="0" w:sz="5" w:val="single"/>
              <w:right w:color="e0e0e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88">
            <w:pPr>
              <w:spacing w:after="0" w:line="349.09090909090907" w:lineRule="auto"/>
              <w:ind w:left="60" w:right="60" w:firstLine="0"/>
              <w:jc w:val="right"/>
              <w:rPr>
                <w:rFonts w:ascii="Arial" w:cs="Arial" w:eastAsia="Arial" w:hAnsi="Arial"/>
                <w:color w:val="010205"/>
                <w:sz w:val="18"/>
                <w:szCs w:val="18"/>
              </w:rPr>
            </w:pPr>
            <w:r w:rsidDel="00000000" w:rsidR="00000000" w:rsidRPr="00000000">
              <w:rPr>
                <w:rFonts w:ascii="Arial" w:cs="Arial" w:eastAsia="Arial" w:hAnsi="Arial"/>
                <w:color w:val="010205"/>
                <w:sz w:val="18"/>
                <w:szCs w:val="18"/>
                <w:rtl w:val="0"/>
              </w:rPr>
              <w:t xml:space="preserve">100.0</w:t>
            </w:r>
          </w:p>
        </w:tc>
        <w:tc>
          <w:tcPr>
            <w:tcBorders>
              <w:top w:color="000000" w:space="0" w:sz="0" w:val="nil"/>
              <w:left w:color="000000" w:space="0" w:sz="0" w:val="nil"/>
              <w:bottom w:color="152935" w:space="0" w:sz="5" w:val="single"/>
              <w:right w:color="000000" w:space="0" w:sz="0" w:val="nil"/>
            </w:tcBorders>
            <w:shd w:fill="f9f9fb" w:val="clear"/>
            <w:tcMar>
              <w:top w:w="0.0" w:type="dxa"/>
              <w:left w:w="0.0" w:type="dxa"/>
              <w:bottom w:w="0.0" w:type="dxa"/>
              <w:right w:w="0.0" w:type="dxa"/>
            </w:tcMar>
            <w:vAlign w:val="top"/>
          </w:tcPr>
          <w:p w:rsidR="00000000" w:rsidDel="00000000" w:rsidP="00000000" w:rsidRDefault="00000000" w:rsidRPr="00000000" w14:paraId="00000189">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18A">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505200"/>
            <wp:effectExtent b="0" l="0" r="0" t="0"/>
            <wp:docPr id="14"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mua sắm trực tuyến tập trung chủ yếu ở </w:t>
      </w:r>
      <w:r w:rsidDel="00000000" w:rsidR="00000000" w:rsidRPr="00000000">
        <w:rPr>
          <w:rFonts w:ascii="Times New Roman" w:cs="Times New Roman" w:eastAsia="Times New Roman" w:hAnsi="Times New Roman"/>
          <w:b w:val="1"/>
          <w:bCs w:val="1"/>
          <w:sz w:val="26"/>
          <w:szCs w:val="26"/>
          <w:rtl w:val="0"/>
        </w:rPr>
        <w:t xml:space="preserve">nhóm tuổi trẻ từ 18 đến 34 tuổi</w:t>
      </w:r>
      <w:r w:rsidDel="00000000" w:rsidR="00000000" w:rsidRPr="00000000">
        <w:rPr>
          <w:rFonts w:ascii="Times New Roman" w:cs="Times New Roman" w:eastAsia="Times New Roman" w:hAnsi="Times New Roman"/>
          <w:sz w:val="26"/>
          <w:szCs w:val="26"/>
          <w:rtl w:val="0"/>
        </w:rPr>
        <w:t xml:space="preserve"> (chiếm tổng cộng 65,5%). Trong đó, nhóm từ 18 – 24 tuổi chiếm tỷ trọng cao nhất (39,3%). Nhóm khách hàng trung niên và lớn tuổi (từ 35 tuổi trở lên) chiếm tỷ lệ thấp hơn (34,5%). Điều này thể hiện giới trẻ là lực lượng khách hàng nòng cốt của sàn thương mại điện tử X. </w:t>
      </w:r>
    </w:p>
    <w:p w:rsidR="00000000" w:rsidDel="00000000" w:rsidP="00000000" w:rsidRDefault="00000000" w:rsidRPr="00000000" w14:paraId="0000018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48275" cy="1914525"/>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24827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505200"/>
            <wp:effectExtent b="0" l="0" r="0" t="0"/>
            <wp:docPr id="20"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nghề nghiệp, nhóm người đi làm (nhân viên, công chức) chiếm tỷ lệ áp đảo với 73,4%, tiếp theo là nhóm học sinh – sinh viên (21,4%). Hai nhóm đối tượng kinh doanh tự do và nội trợ – hưu trí chỉ chiếm một phần rất nhỏ (tổng cộng 5,2%). Điều này cho thấy khách hàng mua sắm trên sàn X phần lớn là những người đã tự chủ về tài chính và có thu nhập ổn định. </w:t>
      </w:r>
    </w:p>
    <w:p w:rsidR="00000000" w:rsidDel="00000000" w:rsidP="00000000" w:rsidRDefault="00000000" w:rsidRPr="00000000" w14:paraId="00000192">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93">
      <w:pPr>
        <w:rPr>
          <w:rFonts w:ascii="Arial" w:cs="Arial" w:eastAsia="Arial" w:hAnsi="Arial"/>
          <w:sz w:val="26"/>
          <w:szCs w:val="26"/>
        </w:rPr>
      </w:pPr>
      <w:r w:rsidDel="00000000" w:rsidR="00000000" w:rsidRPr="00000000">
        <w:rPr>
          <w:rFonts w:ascii="Arial" w:cs="Arial" w:eastAsia="Arial" w:hAnsi="Arial"/>
          <w:sz w:val="26"/>
          <w:szCs w:val="26"/>
        </w:rPr>
        <w:drawing>
          <wp:inline distB="114300" distT="114300" distL="114300" distR="114300">
            <wp:extent cx="4524375" cy="1771650"/>
            <wp:effectExtent b="0" l="0" r="0" t="0"/>
            <wp:docPr id="21"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452437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rFonts w:ascii="Arial" w:cs="Arial" w:eastAsia="Arial" w:hAnsi="Arial"/>
          <w:sz w:val="26"/>
          <w:szCs w:val="26"/>
        </w:rPr>
      </w:pPr>
      <w:r w:rsidDel="00000000" w:rsidR="00000000" w:rsidRPr="00000000">
        <w:rPr>
          <w:rFonts w:ascii="Arial" w:cs="Arial" w:eastAsia="Arial" w:hAnsi="Arial"/>
          <w:sz w:val="26"/>
          <w:szCs w:val="26"/>
        </w:rPr>
        <w:drawing>
          <wp:inline distB="114300" distT="114300" distL="114300" distR="114300">
            <wp:extent cx="5943600" cy="350520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suất mua sắm của khách hàng phân bổ khá đồng đều ở các mức từ dưới 1 lần đến 5 lần/tháng (dao động khoảng 28% - 30% cho mỗi nhóm). Nhóm khách hàng mua sắm với tần suất rất thường xuyên (trên 5 lần/tháng) chiếm 12,7%. Kết quả này chỉ ra rằng sàn X duy trì được lượng khách hàng quay lại mua sắm tương đối ổn định hàng tháng. </w:t>
      </w:r>
    </w:p>
    <w:p w:rsidR="00000000" w:rsidDel="00000000" w:rsidP="00000000" w:rsidRDefault="00000000" w:rsidRPr="00000000" w14:paraId="00000196">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97">
      <w:pPr>
        <w:rPr>
          <w:rFonts w:ascii="Arial" w:cs="Arial" w:eastAsia="Arial" w:hAnsi="Arial"/>
          <w:sz w:val="26"/>
          <w:szCs w:val="26"/>
        </w:rPr>
      </w:pPr>
      <w:r w:rsidDel="00000000" w:rsidR="00000000" w:rsidRPr="00000000">
        <w:rPr>
          <w:rFonts w:ascii="Arial" w:cs="Arial" w:eastAsia="Arial" w:hAnsi="Arial"/>
          <w:sz w:val="26"/>
          <w:szCs w:val="26"/>
        </w:rPr>
        <w:drawing>
          <wp:inline distB="114300" distT="114300" distL="114300" distR="114300">
            <wp:extent cx="5248275" cy="2057400"/>
            <wp:effectExtent b="0" l="0" r="0" t="0"/>
            <wp:docPr id="22"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24827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rPr>
          <w:rFonts w:ascii="Arial" w:cs="Arial" w:eastAsia="Arial" w:hAnsi="Arial"/>
          <w:sz w:val="26"/>
          <w:szCs w:val="26"/>
        </w:rPr>
      </w:pPr>
      <w:r w:rsidDel="00000000" w:rsidR="00000000" w:rsidRPr="00000000">
        <w:rPr>
          <w:rFonts w:ascii="Arial" w:cs="Arial" w:eastAsia="Arial" w:hAnsi="Arial"/>
          <w:sz w:val="26"/>
          <w:szCs w:val="26"/>
        </w:rPr>
        <w:drawing>
          <wp:inline distB="114300" distT="114300" distL="114300" distR="114300">
            <wp:extent cx="5943600" cy="3505200"/>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chi tiêu cho mỗi đơn hàng của khách hàng tập trung đông nhất ở phân khúc bình dân từ 200 đến dưới 500 nghìn đồng (42,8%). Nhóm chi tiêu dưới 200 nghìn đồng cũng chiếm tỷ lệ khá cao (28,8%). Trong khi đó, các đơn hàng giá trị cao từ 500 nghìn đồng trở lên chiếm tỷ lệ khiêm tốn hơn (28,4%). Cho thấy khách hàng trên sàn X ưa chuộng các sản phẩm có giá trị vừa phải và bình dân. </w:t>
      </w:r>
    </w:p>
    <w:p w:rsidR="00000000" w:rsidDel="00000000" w:rsidP="00000000" w:rsidRDefault="00000000" w:rsidRPr="00000000" w14:paraId="0000019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Thống kê trung bình cho các nhân tố</w:t>
      </w:r>
    </w:p>
    <w:p w:rsidR="00000000" w:rsidDel="00000000" w:rsidP="00000000" w:rsidRDefault="00000000" w:rsidRPr="00000000" w14:paraId="000001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05350" cy="2047875"/>
            <wp:effectExtent b="0" l="0" r="0" t="0"/>
            <wp:docPr id="1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7053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0">
      <w:pPr>
        <w:rPr>
          <w:rFonts w:ascii="Times" w:cs="Times" w:eastAsia="Times" w:hAnsi="Times"/>
          <w:sz w:val="26"/>
          <w:szCs w:val="26"/>
        </w:rPr>
      </w:pPr>
      <w:r w:rsidDel="00000000" w:rsidR="00000000" w:rsidRPr="00000000">
        <w:rPr>
          <w:rFonts w:ascii="Times" w:cs="Times" w:eastAsia="Times" w:hAnsi="Times"/>
          <w:sz w:val="26"/>
          <w:szCs w:val="26"/>
          <w:rtl w:val="0"/>
        </w:rPr>
        <w:t xml:space="preserve">Đánh giá của khách hàng đối với các nhân tố tập trung cao nhất ở yếu tố Dịch vụ giao hàng (</w:t>
      </w:r>
      <w:r w:rsidDel="00000000" w:rsidR="00000000" w:rsidRPr="00000000">
        <w:rPr>
          <w:rFonts w:ascii="Times" w:cs="Times" w:eastAsia="Times" w:hAnsi="Times"/>
          <w:sz w:val="26"/>
          <w:szCs w:val="26"/>
          <w:rtl w:val="0"/>
        </w:rPr>
        <w:t xml:space="preserve">GH</w:t>
      </w:r>
      <w:r w:rsidDel="00000000" w:rsidR="00000000" w:rsidRPr="00000000">
        <w:rPr>
          <w:rFonts w:ascii="Times" w:cs="Times" w:eastAsia="Times" w:hAnsi="Times"/>
          <w:sz w:val="26"/>
          <w:szCs w:val="26"/>
          <w:rtl w:val="0"/>
        </w:rPr>
        <w:t xml:space="preserve">) với điểm trung bình 3,95 và Thanh toán (</w:t>
      </w:r>
      <w:r w:rsidDel="00000000" w:rsidR="00000000" w:rsidRPr="00000000">
        <w:rPr>
          <w:rFonts w:ascii="Times" w:cs="Times" w:eastAsia="Times" w:hAnsi="Times"/>
          <w:sz w:val="26"/>
          <w:szCs w:val="26"/>
          <w:rtl w:val="0"/>
        </w:rPr>
        <w:t xml:space="preserve">TT</w:t>
      </w:r>
      <w:r w:rsidDel="00000000" w:rsidR="00000000" w:rsidRPr="00000000">
        <w:rPr>
          <w:rFonts w:ascii="Times" w:cs="Times" w:eastAsia="Times" w:hAnsi="Times"/>
          <w:sz w:val="26"/>
          <w:szCs w:val="26"/>
          <w:rtl w:val="0"/>
        </w:rPr>
        <w:t xml:space="preserve">) đạt 3,93, cho thấy sự hài lòng tích cực về quy trình vận chuyển và phương thức giao dịch. Các nhân tố Giao diện &amp; Ứng dụng (</w:t>
      </w:r>
      <w:r w:rsidDel="00000000" w:rsidR="00000000" w:rsidRPr="00000000">
        <w:rPr>
          <w:rFonts w:ascii="Times" w:cs="Times" w:eastAsia="Times" w:hAnsi="Times"/>
          <w:sz w:val="26"/>
          <w:szCs w:val="26"/>
          <w:rtl w:val="0"/>
        </w:rPr>
        <w:t xml:space="preserve">UD</w:t>
      </w:r>
      <w:r w:rsidDel="00000000" w:rsidR="00000000" w:rsidRPr="00000000">
        <w:rPr>
          <w:rFonts w:ascii="Times" w:cs="Times" w:eastAsia="Times" w:hAnsi="Times"/>
          <w:sz w:val="26"/>
          <w:szCs w:val="26"/>
          <w:rtl w:val="0"/>
        </w:rPr>
        <w:t xml:space="preserve">), Bảo mật &amp; An toàn (</w:t>
      </w:r>
      <w:r w:rsidDel="00000000" w:rsidR="00000000" w:rsidRPr="00000000">
        <w:rPr>
          <w:rFonts w:ascii="Times" w:cs="Times" w:eastAsia="Times" w:hAnsi="Times"/>
          <w:sz w:val="26"/>
          <w:szCs w:val="26"/>
          <w:rtl w:val="0"/>
        </w:rPr>
        <w:t xml:space="preserve">BM</w:t>
      </w:r>
      <w:r w:rsidDel="00000000" w:rsidR="00000000" w:rsidRPr="00000000">
        <w:rPr>
          <w:rFonts w:ascii="Times" w:cs="Times" w:eastAsia="Times" w:hAnsi="Times"/>
          <w:sz w:val="26"/>
          <w:szCs w:val="26"/>
          <w:rtl w:val="0"/>
        </w:rPr>
        <w:t xml:space="preserve">) và Sự hài lòng chung (</w:t>
      </w:r>
      <w:r w:rsidDel="00000000" w:rsidR="00000000" w:rsidRPr="00000000">
        <w:rPr>
          <w:rFonts w:ascii="Times" w:cs="Times" w:eastAsia="Times" w:hAnsi="Times"/>
          <w:sz w:val="26"/>
          <w:szCs w:val="26"/>
          <w:rtl w:val="0"/>
        </w:rPr>
        <w:t xml:space="preserve">HL</w:t>
      </w:r>
      <w:r w:rsidDel="00000000" w:rsidR="00000000" w:rsidRPr="00000000">
        <w:rPr>
          <w:rFonts w:ascii="Times" w:cs="Times" w:eastAsia="Times" w:hAnsi="Times"/>
          <w:sz w:val="26"/>
          <w:szCs w:val="26"/>
          <w:rtl w:val="0"/>
        </w:rPr>
        <w:t xml:space="preserve">) đều đạt mức khá tốt (dao động từ 3,56 đến 3,76). Trong khi đó, nhân tố Chăm sóc khách hàng &amp; Đổi trả (</w:t>
      </w:r>
      <w:r w:rsidDel="00000000" w:rsidR="00000000" w:rsidRPr="00000000">
        <w:rPr>
          <w:rFonts w:ascii="Times" w:cs="Times" w:eastAsia="Times" w:hAnsi="Times"/>
          <w:sz w:val="26"/>
          <w:szCs w:val="26"/>
          <w:rtl w:val="0"/>
        </w:rPr>
        <w:t xml:space="preserve">CS</w:t>
      </w:r>
      <w:r w:rsidDel="00000000" w:rsidR="00000000" w:rsidRPr="00000000">
        <w:rPr>
          <w:rFonts w:ascii="Times" w:cs="Times" w:eastAsia="Times" w:hAnsi="Times"/>
          <w:sz w:val="26"/>
          <w:szCs w:val="26"/>
          <w:rtl w:val="0"/>
        </w:rPr>
        <w:t xml:space="preserve">) có mức đánh giá thấp hơn một chút ở mức 3,52. Nhìn chung, tất cả các nhân tố đều vượt mức trung lập (3,0), phản ánh trải nghiệm và phản hồi của khách hàng đối với dịch vụ nhìn chung là tích cực và ổn định. </w:t>
      </w:r>
    </w:p>
    <w:p w:rsidR="00000000" w:rsidDel="00000000" w:rsidP="00000000" w:rsidRDefault="00000000" w:rsidRPr="00000000" w14:paraId="000001A1">
      <w:pPr>
        <w:rPr>
          <w:rFonts w:ascii="Times" w:cs="Times" w:eastAsia="Times" w:hAnsi="Times"/>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A2">
      <w:pPr>
        <w:rPr>
          <w:rFonts w:ascii="Times" w:cs="Times" w:eastAsia="Times" w:hAnsi="Times"/>
          <w:sz w:val="26"/>
          <w:szCs w:val="26"/>
        </w:rPr>
      </w:pPr>
      <w:r w:rsidDel="00000000" w:rsidR="00000000" w:rsidRPr="00000000">
        <w:rPr>
          <w:rFonts w:ascii="Times" w:cs="Times" w:eastAsia="Times" w:hAnsi="Times"/>
          <w:sz w:val="26"/>
          <w:szCs w:val="26"/>
        </w:rPr>
        <w:drawing>
          <wp:inline distB="114300" distT="114300" distL="114300" distR="114300">
            <wp:extent cx="1752600" cy="933450"/>
            <wp:effectExtent b="0" l="0" r="0" t="0"/>
            <wp:docPr id="19"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17526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rPr>
          <w:rFonts w:ascii="Times" w:cs="Times" w:eastAsia="Times" w:hAnsi="Times"/>
          <w:sz w:val="26"/>
          <w:szCs w:val="26"/>
        </w:rPr>
      </w:pPr>
      <w:r w:rsidDel="00000000" w:rsidR="00000000" w:rsidRPr="00000000">
        <w:rPr>
          <w:rFonts w:ascii="Times" w:cs="Times" w:eastAsia="Times" w:hAnsi="Times"/>
          <w:sz w:val="26"/>
          <w:szCs w:val="26"/>
        </w:rPr>
        <w:drawing>
          <wp:inline distB="114300" distT="114300" distL="114300" distR="114300">
            <wp:extent cx="4238625" cy="1704975"/>
            <wp:effectExtent b="0" l="0" r="0" t="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2386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kiểm định độ tin cậy Cronbach's Alpha cho nhân tố Giao diện &amp; Ứng dụng (UD) cho thấy thang đo có độ tin cậy tốt với hệ số Cronbach's Alpha đạt </w:t>
      </w:r>
      <m:oMath>
        <m:r>
          <w:rPr>
            <w:rFonts w:ascii="Times New Roman" w:cs="Times New Roman" w:eastAsia="Times New Roman" w:hAnsi="Times New Roman"/>
            <w:sz w:val="26"/>
            <w:szCs w:val="26"/>
          </w:rPr>
          <m:t xml:space="preserve">0,741&gt;0,6</m:t>
        </m:r>
      </m:oMath>
      <w:r w:rsidDel="00000000" w:rsidR="00000000" w:rsidRPr="00000000">
        <w:rPr>
          <w:rFonts w:ascii="Times New Roman" w:cs="Times New Roman" w:eastAsia="Times New Roman" w:hAnsi="Times New Roman"/>
          <w:sz w:val="26"/>
          <w:szCs w:val="26"/>
          <w:rtl w:val="0"/>
        </w:rPr>
        <w:t xml:space="preserve">, đồng thời hệ số tương quan biến - tổng (Corrected Item-Total Correlation) của cả 4 biến quan sát UD1 (</w:t>
      </w:r>
      <m:oMath>
        <m:r>
          <w:rPr>
            <w:rFonts w:ascii="Times New Roman" w:cs="Times New Roman" w:eastAsia="Times New Roman" w:hAnsi="Times New Roman"/>
            <w:sz w:val="26"/>
            <w:szCs w:val="26"/>
          </w:rPr>
          <m:t xml:space="preserve">0,546</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UD2</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0,549</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UD3</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0,550</m:t>
        </m:r>
      </m:oMath>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UD4</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0,491</m:t>
        </m:r>
      </m:oMath>
      <w:r w:rsidDel="00000000" w:rsidR="00000000" w:rsidRPr="00000000">
        <w:rPr>
          <w:rFonts w:ascii="Times New Roman" w:cs="Times New Roman" w:eastAsia="Times New Roman" w:hAnsi="Times New Roman"/>
          <w:sz w:val="26"/>
          <w:szCs w:val="26"/>
          <w:rtl w:val="0"/>
        </w:rPr>
        <w:t xml:space="preserve">) đều lớn hơn </w:t>
      </w:r>
      <m:oMath>
        <m:r>
          <w:rPr>
            <w:rFonts w:ascii="Times New Roman" w:cs="Times New Roman" w:eastAsia="Times New Roman" w:hAnsi="Times New Roman"/>
            <w:sz w:val="26"/>
            <w:szCs w:val="26"/>
          </w:rPr>
          <m:t xml:space="preserve">0,3</m:t>
        </m:r>
      </m:oMath>
      <w:r w:rsidDel="00000000" w:rsidR="00000000" w:rsidRPr="00000000">
        <w:rPr>
          <w:rFonts w:ascii="Times New Roman" w:cs="Times New Roman" w:eastAsia="Times New Roman" w:hAnsi="Times New Roman"/>
          <w:sz w:val="26"/>
          <w:szCs w:val="26"/>
          <w:rtl w:val="0"/>
        </w:rPr>
        <w:t xml:space="preserve">, do đó tất cả 4 biến quan sát đều đạt chuẩn và được giữ lại để tiếp tục thực hiện phân tích nhân tố khám phá EFA. </w:t>
      </w:r>
    </w:p>
    <w:p w:rsidR="00000000" w:rsidDel="00000000" w:rsidP="00000000" w:rsidRDefault="00000000" w:rsidRPr="00000000" w14:paraId="000001A5">
      <w:pPr>
        <w:rPr>
          <w:rFonts w:ascii="Times" w:cs="Times" w:eastAsia="Times" w:hAnsi="Times"/>
          <w:sz w:val="26"/>
          <w:szCs w:val="26"/>
        </w:rPr>
      </w:pPr>
      <w:r w:rsidDel="00000000" w:rsidR="00000000" w:rsidRPr="00000000">
        <w:rPr>
          <w:rtl w:val="0"/>
        </w:rPr>
      </w:r>
    </w:p>
    <w:p w:rsidR="00000000" w:rsidDel="00000000" w:rsidP="00000000" w:rsidRDefault="00000000" w:rsidRPr="00000000" w14:paraId="000001A6">
      <w:pPr>
        <w:rPr>
          <w:rFonts w:ascii="Times" w:cs="Times" w:eastAsia="Times" w:hAnsi="Times"/>
          <w:sz w:val="26"/>
          <w:szCs w:val="26"/>
        </w:rPr>
      </w:pPr>
      <w:r w:rsidDel="00000000" w:rsidR="00000000" w:rsidRPr="00000000">
        <w:rPr>
          <w:rFonts w:ascii="Times" w:cs="Times" w:eastAsia="Times" w:hAnsi="Times"/>
          <w:sz w:val="26"/>
          <w:szCs w:val="26"/>
        </w:rPr>
        <w:drawing>
          <wp:inline distB="114300" distT="114300" distL="114300" distR="114300">
            <wp:extent cx="1752600" cy="933450"/>
            <wp:effectExtent b="0" l="0" r="0" t="0"/>
            <wp:docPr id="1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17526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rFonts w:ascii="Times" w:cs="Times" w:eastAsia="Times" w:hAnsi="Times"/>
          <w:sz w:val="26"/>
          <w:szCs w:val="26"/>
        </w:rPr>
      </w:pPr>
      <w:r w:rsidDel="00000000" w:rsidR="00000000" w:rsidRPr="00000000">
        <w:rPr>
          <w:rFonts w:ascii="Times" w:cs="Times" w:eastAsia="Times" w:hAnsi="Times"/>
          <w:sz w:val="26"/>
          <w:szCs w:val="26"/>
        </w:rPr>
        <w:drawing>
          <wp:inline distB="114300" distT="114300" distL="114300" distR="114300">
            <wp:extent cx="4238625" cy="1914525"/>
            <wp:effectExtent b="0" l="0" r="0" t="0"/>
            <wp:docPr id="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23862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kiểm định độ tin cậy Cronbach's Alpha cho nhân tố Sản phẩm &amp; Giá cả (SP) cho thấy thang đo đạt độ tin cậy rất tốt với hệ số Cronbach's Alpha = </w:t>
      </w:r>
      <m:oMath>
        <m:r>
          <w:rPr>
            <w:rFonts w:ascii="Times New Roman" w:cs="Times New Roman" w:eastAsia="Times New Roman" w:hAnsi="Times New Roman"/>
            <w:sz w:val="26"/>
            <w:szCs w:val="26"/>
          </w:rPr>
          <m:t xml:space="preserve">0,839&gt;0,6</m:t>
        </m:r>
      </m:oMath>
      <w:r w:rsidDel="00000000" w:rsidR="00000000" w:rsidRPr="00000000">
        <w:rPr>
          <w:rFonts w:ascii="Times New Roman" w:cs="Times New Roman" w:eastAsia="Times New Roman" w:hAnsi="Times New Roman"/>
          <w:sz w:val="26"/>
          <w:szCs w:val="26"/>
          <w:rtl w:val="0"/>
        </w:rPr>
        <w:t xml:space="preserve">. Bên cạnh đó, hệ số tương quan biến - tổng của cả 5 biến quan sát (</w:t>
      </w:r>
      <w:r w:rsidDel="00000000" w:rsidR="00000000" w:rsidRPr="00000000">
        <w:rPr>
          <w:rFonts w:ascii="Times New Roman" w:cs="Times New Roman" w:eastAsia="Times New Roman" w:hAnsi="Times New Roman"/>
          <w:sz w:val="26"/>
          <w:szCs w:val="26"/>
          <w:rtl w:val="0"/>
        </w:rPr>
        <w:t xml:space="preserve">SP1</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0,660</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SP2</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0,535</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SP3</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0,661</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SP4</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0,686</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SP5</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0,671</m:t>
        </m:r>
      </m:oMath>
      <w:r w:rsidDel="00000000" w:rsidR="00000000" w:rsidRPr="00000000">
        <w:rPr>
          <w:rFonts w:ascii="Times New Roman" w:cs="Times New Roman" w:eastAsia="Times New Roman" w:hAnsi="Times New Roman"/>
          <w:sz w:val="26"/>
          <w:szCs w:val="26"/>
          <w:rtl w:val="0"/>
        </w:rPr>
        <w:t xml:space="preserve">) đều lớn hơn </w:t>
      </w:r>
      <m:oMath>
        <m:r>
          <w:rPr>
            <w:rFonts w:ascii="Times New Roman" w:cs="Times New Roman" w:eastAsia="Times New Roman" w:hAnsi="Times New Roman"/>
            <w:sz w:val="26"/>
            <w:szCs w:val="26"/>
          </w:rPr>
          <m:t xml:space="preserve">0,3</m:t>
        </m:r>
      </m:oMath>
      <w:r w:rsidDel="00000000" w:rsidR="00000000" w:rsidRPr="00000000">
        <w:rPr>
          <w:rFonts w:ascii="Times New Roman" w:cs="Times New Roman" w:eastAsia="Times New Roman" w:hAnsi="Times New Roman"/>
          <w:sz w:val="26"/>
          <w:szCs w:val="26"/>
          <w:rtl w:val="0"/>
        </w:rPr>
        <w:t xml:space="preserve">. Do đó, tất cả 5 biến quan sát đều đạt chuẩn và được giữ lại để tiến hành phân tích EFA ở bước tiếp theo. </w:t>
      </w:r>
    </w:p>
    <w:p w:rsidR="00000000" w:rsidDel="00000000" w:rsidP="00000000" w:rsidRDefault="00000000" w:rsidRPr="00000000" w14:paraId="000001A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752600" cy="933450"/>
            <wp:effectExtent b="0" l="0" r="0" t="0"/>
            <wp:docPr id="1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17526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38625" cy="2333625"/>
            <wp:effectExtent b="0" l="0" r="0" t="0"/>
            <wp:docPr id="18"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4238625"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kiểm định độ tin cậy Cronbach's Alpha cho nhân tố Dịch vụ giao hàng (GH) cho thấy thang đo có độ tin cậy tốt với hệ số Cronbach's Alpha = </w:t>
      </w:r>
      <m:oMath>
        <m:r>
          <w:rPr>
            <w:rFonts w:ascii="Times New Roman" w:cs="Times New Roman" w:eastAsia="Times New Roman" w:hAnsi="Times New Roman"/>
            <w:sz w:val="26"/>
            <w:szCs w:val="26"/>
          </w:rPr>
          <m:t xml:space="preserve">0,821&gt;0,6</m:t>
        </m:r>
      </m:oMath>
      <w:r w:rsidDel="00000000" w:rsidR="00000000" w:rsidRPr="00000000">
        <w:rPr>
          <w:rFonts w:ascii="Times New Roman" w:cs="Times New Roman" w:eastAsia="Times New Roman" w:hAnsi="Times New Roman"/>
          <w:sz w:val="26"/>
          <w:szCs w:val="26"/>
          <w:rtl w:val="0"/>
        </w:rPr>
        <w:t xml:space="preserve">. Tuy nhiên, biến quan sát </w:t>
      </w:r>
      <w:r w:rsidDel="00000000" w:rsidR="00000000" w:rsidRPr="00000000">
        <w:rPr>
          <w:rFonts w:ascii="Times New Roman" w:cs="Times New Roman" w:eastAsia="Times New Roman" w:hAnsi="Times New Roman"/>
          <w:sz w:val="26"/>
          <w:szCs w:val="26"/>
          <w:rtl w:val="0"/>
        </w:rPr>
        <w:t xml:space="preserve">GH7</w:t>
      </w:r>
      <w:r w:rsidDel="00000000" w:rsidR="00000000" w:rsidRPr="00000000">
        <w:rPr>
          <w:rFonts w:ascii="Times New Roman" w:cs="Times New Roman" w:eastAsia="Times New Roman" w:hAnsi="Times New Roman"/>
          <w:sz w:val="26"/>
          <w:szCs w:val="26"/>
          <w:rtl w:val="0"/>
        </w:rPr>
        <w:t xml:space="preserve"> có hệ số tương quan biến - tổng (Corrected Item-Total Correlation) = </w:t>
      </w:r>
      <m:oMath>
        <m:r>
          <w:rPr>
            <w:rFonts w:ascii="Times New Roman" w:cs="Times New Roman" w:eastAsia="Times New Roman" w:hAnsi="Times New Roman"/>
            <w:sz w:val="26"/>
            <w:szCs w:val="26"/>
          </w:rPr>
          <m:t xml:space="preserve">0,214&lt;0,3</m:t>
        </m:r>
      </m:oMath>
      <w:r w:rsidDel="00000000" w:rsidR="00000000" w:rsidRPr="00000000">
        <w:rPr>
          <w:rFonts w:ascii="Times New Roman" w:cs="Times New Roman" w:eastAsia="Times New Roman" w:hAnsi="Times New Roman"/>
          <w:sz w:val="26"/>
          <w:szCs w:val="26"/>
          <w:rtl w:val="0"/>
        </w:rPr>
        <w:t xml:space="preserve"> nên không đạt yêu cầu. Vì vậy, tiến hành loại bỏ biến </w:t>
      </w:r>
      <w:r w:rsidDel="00000000" w:rsidR="00000000" w:rsidRPr="00000000">
        <w:rPr>
          <w:rFonts w:ascii="Times New Roman" w:cs="Times New Roman" w:eastAsia="Times New Roman" w:hAnsi="Times New Roman"/>
          <w:sz w:val="26"/>
          <w:szCs w:val="26"/>
          <w:rtl w:val="0"/>
        </w:rPr>
        <w:t xml:space="preserve">GH7</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6</m:t>
        </m:r>
      </m:oMath>
      <w:r w:rsidDel="00000000" w:rsidR="00000000" w:rsidRPr="00000000">
        <w:rPr>
          <w:rFonts w:ascii="Times New Roman" w:cs="Times New Roman" w:eastAsia="Times New Roman" w:hAnsi="Times New Roman"/>
          <w:sz w:val="26"/>
          <w:szCs w:val="26"/>
          <w:rtl w:val="0"/>
        </w:rPr>
        <w:t xml:space="preserve"> biến quan sát còn lại (</w:t>
      </w:r>
      <w:r w:rsidDel="00000000" w:rsidR="00000000" w:rsidRPr="00000000">
        <w:rPr>
          <w:rFonts w:ascii="Times New Roman" w:cs="Times New Roman" w:eastAsia="Times New Roman" w:hAnsi="Times New Roman"/>
          <w:sz w:val="26"/>
          <w:szCs w:val="26"/>
          <w:rtl w:val="0"/>
        </w:rPr>
        <w:t xml:space="preserve">GH1</w:t>
      </w:r>
      <w:r w:rsidDel="00000000" w:rsidR="00000000" w:rsidRPr="00000000">
        <w:rPr>
          <w:rFonts w:ascii="Times New Roman" w:cs="Times New Roman" w:eastAsia="Times New Roman" w:hAnsi="Times New Roman"/>
          <w:sz w:val="26"/>
          <w:szCs w:val="26"/>
          <w:rtl w:val="0"/>
        </w:rPr>
        <w:t xml:space="preserve"> đến </w:t>
      </w:r>
      <w:r w:rsidDel="00000000" w:rsidR="00000000" w:rsidRPr="00000000">
        <w:rPr>
          <w:rFonts w:ascii="Times New Roman" w:cs="Times New Roman" w:eastAsia="Times New Roman" w:hAnsi="Times New Roman"/>
          <w:sz w:val="26"/>
          <w:szCs w:val="26"/>
          <w:rtl w:val="0"/>
        </w:rPr>
        <w:t xml:space="preserve">GH6</w:t>
      </w:r>
      <w:r w:rsidDel="00000000" w:rsidR="00000000" w:rsidRPr="00000000">
        <w:rPr>
          <w:rFonts w:ascii="Times New Roman" w:cs="Times New Roman" w:eastAsia="Times New Roman" w:hAnsi="Times New Roman"/>
          <w:sz w:val="26"/>
          <w:szCs w:val="26"/>
          <w:rtl w:val="0"/>
        </w:rPr>
        <w:t xml:space="preserve">) đều có hệ số tương quan biến - tổng </w:t>
      </w:r>
      <m:oMath>
        <m:r>
          <w:rPr>
            <w:rFonts w:ascii="Times New Roman" w:cs="Times New Roman" w:eastAsia="Times New Roman" w:hAnsi="Times New Roman"/>
            <w:sz w:val="26"/>
            <w:szCs w:val="26"/>
          </w:rPr>
          <m:t xml:space="preserve">&gt;0,44</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&gt;0,3</m:t>
        </m:r>
      </m:oMath>
      <w:r w:rsidDel="00000000" w:rsidR="00000000" w:rsidRPr="00000000">
        <w:rPr>
          <w:rFonts w:ascii="Times New Roman" w:cs="Times New Roman" w:eastAsia="Times New Roman" w:hAnsi="Times New Roman"/>
          <w:sz w:val="26"/>
          <w:szCs w:val="26"/>
          <w:rtl w:val="0"/>
        </w:rPr>
        <w:t xml:space="preserve">) nên được giữ lại để tiếp tục phân tích EFA ở bước tiếp theo. </w:t>
      </w:r>
    </w:p>
    <w:p w:rsidR="00000000" w:rsidDel="00000000" w:rsidP="00000000" w:rsidRDefault="00000000" w:rsidRPr="00000000" w14:paraId="000001A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752600" cy="933450"/>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7526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38625" cy="1704975"/>
            <wp:effectExtent b="0" l="0" r="0" t="0"/>
            <wp:docPr id="16"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42386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kiểm định độ tin cậy Cronbach's Alpha cho nhân tố Thanh toán (TT) cho thấy thang đo đạt độ tin cậy tốt với hệ số Cronbach's Alpha = </w:t>
      </w:r>
      <m:oMath>
        <m:r>
          <w:rPr>
            <w:rFonts w:ascii="Times New Roman" w:cs="Times New Roman" w:eastAsia="Times New Roman" w:hAnsi="Times New Roman"/>
            <w:sz w:val="26"/>
            <w:szCs w:val="26"/>
          </w:rPr>
          <m:t xml:space="preserve">0,741&gt;0,6</m:t>
        </m:r>
      </m:oMath>
      <w:r w:rsidDel="00000000" w:rsidR="00000000" w:rsidRPr="00000000">
        <w:rPr>
          <w:rFonts w:ascii="Times New Roman" w:cs="Times New Roman" w:eastAsia="Times New Roman" w:hAnsi="Times New Roman"/>
          <w:sz w:val="26"/>
          <w:szCs w:val="26"/>
          <w:rtl w:val="0"/>
        </w:rPr>
        <w:t xml:space="preserve">. Đồng thời, hệ số tương quan biến - tổng của cả 4 biến quan sát (</w:t>
      </w:r>
      <w:r w:rsidDel="00000000" w:rsidR="00000000" w:rsidRPr="00000000">
        <w:rPr>
          <w:rFonts w:ascii="Times New Roman" w:cs="Times New Roman" w:eastAsia="Times New Roman" w:hAnsi="Times New Roman"/>
          <w:sz w:val="26"/>
          <w:szCs w:val="26"/>
          <w:rtl w:val="0"/>
        </w:rPr>
        <w:t xml:space="preserve">TT1</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0,519</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TT2</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0,599</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TT3</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0,553</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TT4</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0,489</m:t>
        </m:r>
      </m:oMath>
      <w:r w:rsidDel="00000000" w:rsidR="00000000" w:rsidRPr="00000000">
        <w:rPr>
          <w:rFonts w:ascii="Times New Roman" w:cs="Times New Roman" w:eastAsia="Times New Roman" w:hAnsi="Times New Roman"/>
          <w:sz w:val="26"/>
          <w:szCs w:val="26"/>
          <w:rtl w:val="0"/>
        </w:rPr>
        <w:t xml:space="preserve">) đều lớn hơn </w:t>
      </w:r>
      <m:oMath>
        <m:r>
          <w:rPr>
            <w:rFonts w:ascii="Times New Roman" w:cs="Times New Roman" w:eastAsia="Times New Roman" w:hAnsi="Times New Roman"/>
            <w:sz w:val="26"/>
            <w:szCs w:val="26"/>
          </w:rPr>
          <m:t xml:space="preserve">0,3</m:t>
        </m:r>
      </m:oMath>
      <w:r w:rsidDel="00000000" w:rsidR="00000000" w:rsidRPr="00000000">
        <w:rPr>
          <w:rFonts w:ascii="Times New Roman" w:cs="Times New Roman" w:eastAsia="Times New Roman" w:hAnsi="Times New Roman"/>
          <w:sz w:val="26"/>
          <w:szCs w:val="26"/>
          <w:rtl w:val="0"/>
        </w:rPr>
        <w:t xml:space="preserve">. Do đó, tất cả 4 biến quan sát đều đạt chuẩn và được giữ lại để tiếp tục thực hiện phân tích EFA ở bước tiếp theo. </w:t>
      </w:r>
    </w:p>
    <w:p w:rsidR="00000000" w:rsidDel="00000000" w:rsidP="00000000" w:rsidRDefault="00000000" w:rsidRPr="00000000" w14:paraId="000001B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752600" cy="933450"/>
            <wp:effectExtent b="0" l="0" r="0" t="0"/>
            <wp:docPr id="12"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7526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38625" cy="1914525"/>
            <wp:effectExtent b="0" l="0" r="0" t="0"/>
            <wp:docPr id="3"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23862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kiểm định độ tin cậy Cronbach's Alpha cho nhân tố Chăm sóc khách hàng &amp; Đổi trả (CS) cho thấy thang đo đạt độ tin cậy rất tốt với hệ số Cronbach's Alpha = </w:t>
      </w:r>
      <m:oMath>
        <m:r>
          <w:rPr>
            <w:rFonts w:ascii="Times New Roman" w:cs="Times New Roman" w:eastAsia="Times New Roman" w:hAnsi="Times New Roman"/>
            <w:sz w:val="26"/>
            <w:szCs w:val="26"/>
          </w:rPr>
          <m:t xml:space="preserve">0,830&gt;0,6</m:t>
        </m:r>
      </m:oMath>
      <w:r w:rsidDel="00000000" w:rsidR="00000000" w:rsidRPr="00000000">
        <w:rPr>
          <w:rFonts w:ascii="Times New Roman" w:cs="Times New Roman" w:eastAsia="Times New Roman" w:hAnsi="Times New Roman"/>
          <w:sz w:val="26"/>
          <w:szCs w:val="26"/>
          <w:rtl w:val="0"/>
        </w:rPr>
        <w:t xml:space="preserve">. Đồng thời, hệ số tương quan biến - tổng của cả 5 biến quan sát (</w:t>
      </w:r>
      <w:r w:rsidDel="00000000" w:rsidR="00000000" w:rsidRPr="00000000">
        <w:rPr>
          <w:rFonts w:ascii="Times New Roman" w:cs="Times New Roman" w:eastAsia="Times New Roman" w:hAnsi="Times New Roman"/>
          <w:sz w:val="26"/>
          <w:szCs w:val="26"/>
          <w:rtl w:val="0"/>
        </w:rPr>
        <w:t xml:space="preserve">CS1</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0,553</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CS2</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0,633</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CS3</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0,617</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CS4</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0,675</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CS5</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0,676</m:t>
        </m:r>
      </m:oMath>
      <w:r w:rsidDel="00000000" w:rsidR="00000000" w:rsidRPr="00000000">
        <w:rPr>
          <w:rFonts w:ascii="Times New Roman" w:cs="Times New Roman" w:eastAsia="Times New Roman" w:hAnsi="Times New Roman"/>
          <w:sz w:val="26"/>
          <w:szCs w:val="26"/>
          <w:rtl w:val="0"/>
        </w:rPr>
        <w:t xml:space="preserve">) đều lớn hơn </w:t>
      </w:r>
      <m:oMath>
        <m:r>
          <w:rPr>
            <w:rFonts w:ascii="Times New Roman" w:cs="Times New Roman" w:eastAsia="Times New Roman" w:hAnsi="Times New Roman"/>
            <w:sz w:val="26"/>
            <w:szCs w:val="26"/>
          </w:rPr>
          <m:t xml:space="preserve">0,3</m:t>
        </m:r>
      </m:oMath>
      <w:r w:rsidDel="00000000" w:rsidR="00000000" w:rsidRPr="00000000">
        <w:rPr>
          <w:rFonts w:ascii="Times New Roman" w:cs="Times New Roman" w:eastAsia="Times New Roman" w:hAnsi="Times New Roman"/>
          <w:sz w:val="26"/>
          <w:szCs w:val="26"/>
          <w:rtl w:val="0"/>
        </w:rPr>
        <w:t xml:space="preserve">. Do đó, tất cả 5 biến quan sát đều đạt chuẩn và được giữ lại để tiếp tục thực hiện phân tích EFA ở bước tiếp theo. </w:t>
      </w:r>
    </w:p>
    <w:p w:rsidR="00000000" w:rsidDel="00000000" w:rsidP="00000000" w:rsidRDefault="00000000" w:rsidRPr="00000000" w14:paraId="000001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752600" cy="933450"/>
            <wp:effectExtent b="0" l="0" r="0" t="0"/>
            <wp:docPr id="6"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17526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38625" cy="1704975"/>
            <wp:effectExtent b="0" l="0" r="0" t="0"/>
            <wp:docPr id="17"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42386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kiểm định độ tin cậy Cronbach's Alpha cho nhân tố Bảo mật &amp; An toàn (BM) cho thấy thang đo đạt độ tin cậy tốt với hệ số Cronbach's Alpha = </w:t>
      </w:r>
      <m:oMath>
        <m:r>
          <w:rPr>
            <w:rFonts w:ascii="Times New Roman" w:cs="Times New Roman" w:eastAsia="Times New Roman" w:hAnsi="Times New Roman"/>
            <w:sz w:val="26"/>
            <w:szCs w:val="26"/>
          </w:rPr>
          <m:t xml:space="preserve">0,748&gt;0,6</m:t>
        </m:r>
      </m:oMath>
      <w:r w:rsidDel="00000000" w:rsidR="00000000" w:rsidRPr="00000000">
        <w:rPr>
          <w:rFonts w:ascii="Times New Roman" w:cs="Times New Roman" w:eastAsia="Times New Roman" w:hAnsi="Times New Roman"/>
          <w:sz w:val="26"/>
          <w:szCs w:val="26"/>
          <w:rtl w:val="0"/>
        </w:rPr>
        <w:t xml:space="preserve">. Đồng thời, hệ số tương quan biến - tổng của cả 4 biến quan sát (</w:t>
      </w:r>
      <w:r w:rsidDel="00000000" w:rsidR="00000000" w:rsidRPr="00000000">
        <w:rPr>
          <w:rFonts w:ascii="Times New Roman" w:cs="Times New Roman" w:eastAsia="Times New Roman" w:hAnsi="Times New Roman"/>
          <w:sz w:val="26"/>
          <w:szCs w:val="26"/>
          <w:rtl w:val="0"/>
        </w:rPr>
        <w:t xml:space="preserve">BM1</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0,547</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BM2</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0,604</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BM3</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0,535</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BM4</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0,489</m:t>
        </m:r>
      </m:oMath>
      <w:r w:rsidDel="00000000" w:rsidR="00000000" w:rsidRPr="00000000">
        <w:rPr>
          <w:rFonts w:ascii="Times New Roman" w:cs="Times New Roman" w:eastAsia="Times New Roman" w:hAnsi="Times New Roman"/>
          <w:sz w:val="26"/>
          <w:szCs w:val="26"/>
          <w:rtl w:val="0"/>
        </w:rPr>
        <w:t xml:space="preserve">) đều lớn hơn </w:t>
      </w:r>
      <m:oMath>
        <m:r>
          <w:rPr>
            <w:rFonts w:ascii="Times New Roman" w:cs="Times New Roman" w:eastAsia="Times New Roman" w:hAnsi="Times New Roman"/>
            <w:sz w:val="26"/>
            <w:szCs w:val="26"/>
          </w:rPr>
          <m:t xml:space="preserve">0,3</m:t>
        </m:r>
      </m:oMath>
      <w:r w:rsidDel="00000000" w:rsidR="00000000" w:rsidRPr="00000000">
        <w:rPr>
          <w:rFonts w:ascii="Times New Roman" w:cs="Times New Roman" w:eastAsia="Times New Roman" w:hAnsi="Times New Roman"/>
          <w:sz w:val="26"/>
          <w:szCs w:val="26"/>
          <w:rtl w:val="0"/>
        </w:rPr>
        <w:t xml:space="preserve">. Do đó, tất cả 4 biến quan sát đều đạt chuẩn và được giữ lại để tiếp tục thực hiện phân tích EFA ở bước tiếp theo.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C453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C453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C453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C4537"/>
    <w:rPr>
      <w:rFonts w:asciiTheme="majorHAnsi" w:cstheme="majorBidi" w:eastAsiaTheme="majorEastAsia" w:hAnsiTheme="majorHAnsi"/>
      <w:noProof w:val="1"/>
      <w:color w:val="0f4761" w:themeColor="accent1" w:themeShade="0000BF"/>
      <w:sz w:val="40"/>
      <w:szCs w:val="40"/>
    </w:rPr>
  </w:style>
  <w:style w:type="character" w:styleId="Heading2Char" w:customStyle="1">
    <w:name w:val="Heading 2 Char"/>
    <w:basedOn w:val="DefaultParagraphFont"/>
    <w:link w:val="Heading2"/>
    <w:uiPriority w:val="9"/>
    <w:semiHidden w:val="1"/>
    <w:rsid w:val="005C4537"/>
    <w:rPr>
      <w:rFonts w:asciiTheme="majorHAnsi" w:cstheme="majorBidi" w:eastAsiaTheme="majorEastAsia" w:hAnsiTheme="majorHAnsi"/>
      <w:noProof w:val="1"/>
      <w:color w:val="0f4761" w:themeColor="accent1" w:themeShade="0000BF"/>
      <w:sz w:val="32"/>
      <w:szCs w:val="32"/>
    </w:rPr>
  </w:style>
  <w:style w:type="character" w:styleId="Heading3Char" w:customStyle="1">
    <w:name w:val="Heading 3 Char"/>
    <w:basedOn w:val="DefaultParagraphFont"/>
    <w:link w:val="Heading3"/>
    <w:uiPriority w:val="9"/>
    <w:semiHidden w:val="1"/>
    <w:rsid w:val="005C4537"/>
    <w:rPr>
      <w:rFonts w:cstheme="majorBidi" w:eastAsiaTheme="majorEastAsia"/>
      <w:noProof w:val="1"/>
      <w:color w:val="0f4761" w:themeColor="accent1" w:themeShade="0000BF"/>
      <w:sz w:val="28"/>
      <w:szCs w:val="28"/>
    </w:rPr>
  </w:style>
  <w:style w:type="character" w:styleId="Heading4Char" w:customStyle="1">
    <w:name w:val="Heading 4 Char"/>
    <w:basedOn w:val="DefaultParagraphFont"/>
    <w:link w:val="Heading4"/>
    <w:uiPriority w:val="9"/>
    <w:semiHidden w:val="1"/>
    <w:rsid w:val="005C4537"/>
    <w:rPr>
      <w:rFonts w:cstheme="majorBidi" w:eastAsiaTheme="majorEastAsia"/>
      <w:i w:val="1"/>
      <w:iCs w:val="1"/>
      <w:noProof w:val="1"/>
      <w:color w:val="0f4761" w:themeColor="accent1" w:themeShade="0000BF"/>
    </w:rPr>
  </w:style>
  <w:style w:type="character" w:styleId="Heading5Char" w:customStyle="1">
    <w:name w:val="Heading 5 Char"/>
    <w:basedOn w:val="DefaultParagraphFont"/>
    <w:link w:val="Heading5"/>
    <w:uiPriority w:val="9"/>
    <w:semiHidden w:val="1"/>
    <w:rsid w:val="005C4537"/>
    <w:rPr>
      <w:rFonts w:cstheme="majorBidi" w:eastAsiaTheme="majorEastAsia"/>
      <w:noProof w:val="1"/>
      <w:color w:val="0f4761" w:themeColor="accent1" w:themeShade="0000BF"/>
    </w:rPr>
  </w:style>
  <w:style w:type="character" w:styleId="Heading6Char" w:customStyle="1">
    <w:name w:val="Heading 6 Char"/>
    <w:basedOn w:val="DefaultParagraphFont"/>
    <w:link w:val="Heading6"/>
    <w:uiPriority w:val="9"/>
    <w:semiHidden w:val="1"/>
    <w:rsid w:val="005C4537"/>
    <w:rPr>
      <w:rFonts w:cstheme="majorBidi" w:eastAsiaTheme="majorEastAsia"/>
      <w:i w:val="1"/>
      <w:iCs w:val="1"/>
      <w:noProof w:val="1"/>
      <w:color w:val="595959" w:themeColor="text1" w:themeTint="0000A6"/>
    </w:rPr>
  </w:style>
  <w:style w:type="character" w:styleId="Heading7Char" w:customStyle="1">
    <w:name w:val="Heading 7 Char"/>
    <w:basedOn w:val="DefaultParagraphFont"/>
    <w:link w:val="Heading7"/>
    <w:uiPriority w:val="9"/>
    <w:semiHidden w:val="1"/>
    <w:rsid w:val="005C4537"/>
    <w:rPr>
      <w:rFonts w:cstheme="majorBidi" w:eastAsiaTheme="majorEastAsia"/>
      <w:noProof w:val="1"/>
      <w:color w:val="595959" w:themeColor="text1" w:themeTint="0000A6"/>
    </w:rPr>
  </w:style>
  <w:style w:type="character" w:styleId="Heading8Char" w:customStyle="1">
    <w:name w:val="Heading 8 Char"/>
    <w:basedOn w:val="DefaultParagraphFont"/>
    <w:link w:val="Heading8"/>
    <w:uiPriority w:val="9"/>
    <w:semiHidden w:val="1"/>
    <w:rsid w:val="005C4537"/>
    <w:rPr>
      <w:rFonts w:cstheme="majorBidi" w:eastAsiaTheme="majorEastAsia"/>
      <w:i w:val="1"/>
      <w:iCs w:val="1"/>
      <w:noProof w:val="1"/>
      <w:color w:val="272727" w:themeColor="text1" w:themeTint="0000D8"/>
    </w:rPr>
  </w:style>
  <w:style w:type="character" w:styleId="Heading9Char" w:customStyle="1">
    <w:name w:val="Heading 9 Char"/>
    <w:basedOn w:val="DefaultParagraphFont"/>
    <w:link w:val="Heading9"/>
    <w:uiPriority w:val="9"/>
    <w:semiHidden w:val="1"/>
    <w:rsid w:val="005C4537"/>
    <w:rPr>
      <w:rFonts w:cstheme="majorBidi" w:eastAsiaTheme="majorEastAsia"/>
      <w:noProof w:val="1"/>
      <w:color w:val="272727" w:themeColor="text1" w:themeTint="0000D8"/>
    </w:rPr>
  </w:style>
  <w:style w:type="character" w:styleId="TitleChar" w:customStyle="1">
    <w:name w:val="Title Char"/>
    <w:basedOn w:val="DefaultParagraphFont"/>
    <w:link w:val="Title"/>
    <w:uiPriority w:val="10"/>
    <w:rsid w:val="005C4537"/>
    <w:rPr>
      <w:rFonts w:asciiTheme="majorHAnsi" w:cstheme="majorBidi" w:eastAsiaTheme="majorEastAsia" w:hAnsiTheme="majorHAnsi"/>
      <w:noProof w:val="1"/>
      <w:spacing w:val="-10"/>
      <w:kern w:val="28"/>
      <w:sz w:val="56"/>
      <w:szCs w:val="56"/>
    </w:rPr>
  </w:style>
  <w:style w:type="character" w:styleId="SubtitleChar" w:customStyle="1">
    <w:name w:val="Subtitle Char"/>
    <w:basedOn w:val="DefaultParagraphFont"/>
    <w:link w:val="Subtitle"/>
    <w:uiPriority w:val="11"/>
    <w:rsid w:val="005C4537"/>
    <w:rPr>
      <w:rFonts w:cstheme="majorBidi" w:eastAsiaTheme="majorEastAsia"/>
      <w:noProof w:val="1"/>
      <w:color w:val="595959" w:themeColor="text1" w:themeTint="0000A6"/>
      <w:spacing w:val="15"/>
      <w:sz w:val="28"/>
      <w:szCs w:val="28"/>
    </w:rPr>
  </w:style>
  <w:style w:type="paragraph" w:styleId="Quote">
    <w:name w:val="Quote"/>
    <w:basedOn w:val="Normal"/>
    <w:next w:val="Normal"/>
    <w:link w:val="QuoteChar"/>
    <w:uiPriority w:val="29"/>
    <w:qFormat w:val="1"/>
    <w:rsid w:val="005C453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C4537"/>
    <w:rPr>
      <w:i w:val="1"/>
      <w:iCs w:val="1"/>
      <w:noProof w:val="1"/>
      <w:color w:val="404040" w:themeColor="text1" w:themeTint="0000BF"/>
    </w:rPr>
  </w:style>
  <w:style w:type="paragraph" w:styleId="ListParagraph">
    <w:name w:val="List Paragraph"/>
    <w:basedOn w:val="Normal"/>
    <w:uiPriority w:val="34"/>
    <w:qFormat w:val="1"/>
    <w:rsid w:val="005C4537"/>
    <w:pPr>
      <w:ind w:left="720"/>
      <w:contextualSpacing w:val="1"/>
    </w:pPr>
  </w:style>
  <w:style w:type="character" w:styleId="IntenseEmphasis">
    <w:name w:val="Intense Emphasis"/>
    <w:basedOn w:val="DefaultParagraphFont"/>
    <w:uiPriority w:val="21"/>
    <w:qFormat w:val="1"/>
    <w:rsid w:val="005C4537"/>
    <w:rPr>
      <w:i w:val="1"/>
      <w:iCs w:val="1"/>
      <w:color w:val="0f4761" w:themeColor="accent1" w:themeShade="0000BF"/>
    </w:rPr>
  </w:style>
  <w:style w:type="paragraph" w:styleId="IntenseQuote">
    <w:name w:val="Intense Quote"/>
    <w:basedOn w:val="Normal"/>
    <w:next w:val="Normal"/>
    <w:link w:val="IntenseQuoteChar"/>
    <w:uiPriority w:val="30"/>
    <w:qFormat w:val="1"/>
    <w:rsid w:val="005C453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C4537"/>
    <w:rPr>
      <w:i w:val="1"/>
      <w:iCs w:val="1"/>
      <w:noProof w:val="1"/>
      <w:color w:val="0f4761" w:themeColor="accent1" w:themeShade="0000BF"/>
    </w:rPr>
  </w:style>
  <w:style w:type="character" w:styleId="IntenseReference">
    <w:name w:val="Intense Reference"/>
    <w:basedOn w:val="DefaultParagraphFont"/>
    <w:uiPriority w:val="32"/>
    <w:qFormat w:val="1"/>
    <w:rsid w:val="005C4537"/>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2.png"/><Relationship Id="rId21" Type="http://schemas.openxmlformats.org/officeDocument/2006/relationships/image" Target="media/image14.png"/><Relationship Id="rId24" Type="http://schemas.openxmlformats.org/officeDocument/2006/relationships/image" Target="media/image5.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1.png"/><Relationship Id="rId25"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6.png"/><Relationship Id="rId11" Type="http://schemas.openxmlformats.org/officeDocument/2006/relationships/image" Target="media/image18.png"/><Relationship Id="rId10" Type="http://schemas.openxmlformats.org/officeDocument/2006/relationships/image" Target="media/image20.png"/><Relationship Id="rId13" Type="http://schemas.openxmlformats.org/officeDocument/2006/relationships/image" Target="media/image19.png"/><Relationship Id="rId12" Type="http://schemas.openxmlformats.org/officeDocument/2006/relationships/image" Target="media/image9.png"/><Relationship Id="rId15" Type="http://schemas.openxmlformats.org/officeDocument/2006/relationships/image" Target="media/image11.png"/><Relationship Id="rId14" Type="http://schemas.openxmlformats.org/officeDocument/2006/relationships/image" Target="media/image6.png"/><Relationship Id="rId17" Type="http://schemas.openxmlformats.org/officeDocument/2006/relationships/image" Target="media/image4.png"/><Relationship Id="rId16" Type="http://schemas.openxmlformats.org/officeDocument/2006/relationships/image" Target="media/image17.png"/><Relationship Id="rId19" Type="http://schemas.openxmlformats.org/officeDocument/2006/relationships/image" Target="media/image7.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PUf/cwjAJpvfdDQMZ3eigwituQ==">CgMxLjA4AHIhMTNzNUxncWpxQnA1eEhMX1hwd25UV0FmZXdpY1ZWbGs2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2026-05-18T01:47:00Z</dcterms:created>
  <dc:creator>Nang Vu Duc</dc:creator>
</cp:coreProperties>
</file>