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80" w:type="dxa"/>
        <w:tblLook w:val="04A0" w:firstRow="1" w:lastRow="0" w:firstColumn="1" w:lastColumn="0" w:noHBand="0" w:noVBand="1"/>
      </w:tblPr>
      <w:tblGrid>
        <w:gridCol w:w="1345"/>
        <w:gridCol w:w="1346"/>
        <w:gridCol w:w="2596"/>
        <w:gridCol w:w="1579"/>
        <w:gridCol w:w="1576"/>
        <w:gridCol w:w="1910"/>
      </w:tblGrid>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30/09/2024)</w:t>
            </w:r>
            <w:r w:rsidRPr="00E34F1A">
              <w:rPr>
                <w:rFonts w:ascii="&quot;Times New Roman&quot;" w:eastAsia="Times New Roman" w:hAnsi="&quot;Times New Roman&quot;" w:cs="Arial"/>
                <w:b/>
                <w:bCs/>
                <w:color w:val="000000"/>
                <w:kern w:val="0"/>
                <w:sz w:val="28"/>
                <w:szCs w:val="28"/>
                <w14:ligatures w14:val="none"/>
              </w:rPr>
              <w:br/>
              <w:t xml:space="preserve"> DỊCH VỤ TÀI KHOẢN TIỀN GỬI, CHUYỂN TIỀN, NGÂN QUỸ, GIAO DỊCH SÉC</w:t>
            </w:r>
            <w:r w:rsidRPr="00E34F1A">
              <w:rPr>
                <w:rFonts w:ascii="&quot;Times New Roman&quot;" w:eastAsia="Times New Roman" w:hAnsi="&quot;Times New Roman&quot;" w:cs="Arial"/>
                <w:b/>
                <w:bCs/>
                <w:color w:val="000000"/>
                <w:kern w:val="0"/>
                <w:sz w:val="28"/>
                <w:szCs w:val="28"/>
                <w14:ligatures w14:val="none"/>
              </w:rPr>
              <w:br/>
              <w:t xml:space="preserve"> VÀ DỊCH VỤ KHÁC</w:t>
            </w:r>
          </w:p>
        </w:tc>
      </w:tr>
      <w:tr w:rsidR="00E34F1A" w:rsidRPr="00E34F1A" w:rsidTr="00E34F1A">
        <w:trPr>
          <w:trHeight w:val="264"/>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 DỊCH VỤ TÀI KHOẢN TIỀN GỬI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Mở tài khoản và quản lý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Mở tài khoản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Mở tài khoản tiền gửi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Số dư tối thiểu: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Thực hiện theo quy định của Agribank</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Quản lý tài khoản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quản lý tài khoản VND</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phí quản lý tài khoản ngoại tệ</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Quản lý TK chung theo yêu cầu của khách hàng đối với TK VND</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 tháng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Quản lý TK chung theo yêu cầu của khách hàng đối với TK Ngoại tệ</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 USD/ tháng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Quản lý TK khi có yêu cầu quản lý đặc biệt của chủ TK đối với TK VND</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thoả thuận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Quản lý TK khi có yêu cầu quản lý đặc biệt của chủ TK đối với TK Ngoại tệ</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thoả thuận</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Đóng tài khoản theo yêu cầu của chủ TK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Đóng TK thanh toán VND dưới 1 năm kể từ ngày mở</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VNĐ/TK</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Đóng sớm TK VND (hợp đồng tiền gửi) theo yêu cầu của chủ TK. Thời gian đóng sớm theo quy định của từng loại sản phẩm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Đóng TK ngoại tệ dưới 1 năm kể từ ngày mở</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USD/TK</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Đóng sớm TK ngoại tệ (hợp đồng tiền gửi) - Phí đóng sớm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i/>
                <w:iCs/>
                <w:color w:val="000000"/>
                <w:kern w:val="0"/>
                <w:sz w:val="24"/>
                <w:szCs w:val="24"/>
                <w14:ligatures w14:val="none"/>
              </w:rPr>
            </w:pPr>
            <w:r w:rsidRPr="00E34F1A">
              <w:rPr>
                <w:rFonts w:ascii="&quot;Times New Roman&quot;" w:eastAsia="Times New Roman" w:hAnsi="&quot;Times New Roman&quot;" w:cs="Arial"/>
                <w:i/>
                <w:iCs/>
                <w:color w:val="000000"/>
                <w:kern w:val="0"/>
                <w:sz w:val="24"/>
                <w:szCs w:val="24"/>
                <w14:ligatures w14:val="none"/>
              </w:rPr>
              <w:t>(Lưu ý: Nếu khách hàng đóng sớm TK để chuyển sang sản phẩm khác thì không thu phí đóng sớm)</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Nộp/Rút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Tại chi nhánh mở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2.1.1. Nộp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VND</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Trường hợp nộp tiền mặt VND mệnh giá nhỏ từ 10.000 đồng trở xuống và số tiền nộp từ 1.000 tờ trở lên.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 VNĐ/bó</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USD có mệnh giá &lt; 50 USD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0,40%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USD có mệnh giá ≥ 50 USD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ngoại tệ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0,40%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EUR</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EUR</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BI</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USD trắng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2.1.2. Rút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VND (Áp dụng rút TM VND từ TKTT, TG không kỳ hạn trên số tiền mặt nộp vào TK trong vòng 3 ngày và chuyển đến trong ngày)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 VNĐ</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i/>
                <w:iCs/>
                <w:color w:val="000000"/>
                <w:kern w:val="0"/>
                <w:sz w:val="24"/>
                <w:szCs w:val="24"/>
                <w14:ligatures w14:val="none"/>
              </w:rPr>
            </w:pPr>
            <w:r w:rsidRPr="00E34F1A">
              <w:rPr>
                <w:rFonts w:ascii="&quot;Times New Roman&quot;" w:eastAsia="Times New Roman" w:hAnsi="&quot;Times New Roman&quot;" w:cs="Arial"/>
                <w:i/>
                <w:iCs/>
                <w:color w:val="000000"/>
                <w:kern w:val="0"/>
                <w:sz w:val="24"/>
                <w:szCs w:val="24"/>
                <w14:ligatures w14:val="none"/>
              </w:rPr>
              <w:t>(Không thu phí đối với các trường hợp rút tiền mặt để nộp vào tài khoản TT khác mở tại chi nhánh giao dịch, trả nợ tiền vay, trả phí dịch vụ...)</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từ TK USD lấy USD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từ TK ngoại tệ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0,40%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từ TK EUR lấy EUR</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EUR</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Khác chi nhánh mở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2.2.1. Nộp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DK/AM</w:t>
            </w:r>
          </w:p>
        </w:tc>
        <w:tc>
          <w:tcPr>
            <w:tcW w:w="2596"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VNĐ giữa các chi nhánh thuộc TP Hồ Chí Minh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C4/A4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VND khác: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0,03%</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 VNĐ</w:t>
            </w:r>
          </w:p>
        </w:tc>
      </w:tr>
      <w:tr w:rsidR="00E34F1A" w:rsidRPr="00E34F1A" w:rsidTr="00E34F1A">
        <w:trPr>
          <w:trHeight w:val="30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CI/AI</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Trường hợp nộp tiền mặt VND mệnh giá nhỏ từ 10.000 đồng trở xuống và số tiền nộp từ 1.000 tờ trở lên, ngoài các phí thu mục phí tương ứng trên (C0/A0, C1/A1, C2/A2, C3/A3, C4/A4) thu thêm phí tính theo bó</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 VNĐ/bó</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CK/AK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Giao dịch nộp tiền mặt sau giờ nộp tiền cho NHNN trên địa bàn (Không áp dụng với giao dịch nộp tiền để trả nợ vay) từ 1 tỷ đồng trở lên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C5/A5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USD có mệnh giá &lt; 50 USD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0,45%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C6/A6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USD có mệnh giá ≥ 50 USD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C7/A7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mặt bằng EUR</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EUR</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CN/A8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Nộp tiền USD trắng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2,30%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2.2.2. Rút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VND từ tài khoản (TKTT, TGTK) cùng TP Hồ Chí Minh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C9</w:t>
            </w:r>
          </w:p>
        </w:tc>
        <w:tc>
          <w:tcPr>
            <w:tcW w:w="259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VND từ tài khoản khác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từ Tài khoản thanh toán USD cùng tỉnh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từ Tài khoản thanh toán USD khác tỉnh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EUR từ Tài khoản thanh toán EUR cùng tỉnh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 EUR</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 EUR</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EUR từ Tài khoản thanh toán EUR khác tỉnh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0,35%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 EUR</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EUR</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Rút TM từ TK VNĐ số tiền mặt nộp/chuyển đến trong ngày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8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i/>
                <w:iCs/>
                <w:color w:val="000000"/>
                <w:kern w:val="0"/>
                <w:sz w:val="24"/>
                <w:szCs w:val="24"/>
                <w14:ligatures w14:val="none"/>
              </w:rPr>
            </w:pPr>
            <w:r w:rsidRPr="00E34F1A">
              <w:rPr>
                <w:rFonts w:ascii="&quot;Times New Roman&quot;" w:eastAsia="Times New Roman" w:hAnsi="&quot;Times New Roman&quot;" w:cs="Arial"/>
                <w:i/>
                <w:iCs/>
                <w:color w:val="000000"/>
                <w:kern w:val="0"/>
                <w:sz w:val="24"/>
                <w:szCs w:val="24"/>
                <w14:ligatures w14:val="none"/>
              </w:rPr>
              <w:t>Lưu ý: KH rút/đóng tài khoản TGTT khác chi nhánh nhưng chuyển sang loại hình tiền gửi khác của chính chủ tài khoản đó tại Chi nhánh giao dịch.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i/>
                <w:iCs/>
                <w:color w:val="000000"/>
                <w:kern w:val="0"/>
                <w:sz w:val="24"/>
                <w:szCs w:val="24"/>
                <w14:ligatures w14:val="none"/>
              </w:rPr>
            </w:pPr>
            <w:r w:rsidRPr="00E34F1A">
              <w:rPr>
                <w:rFonts w:ascii="&quot;Times New Roman&quot;" w:eastAsia="Times New Roman" w:hAnsi="&quot;Times New Roman&quot;" w:cs="Arial"/>
                <w:i/>
                <w:iCs/>
                <w:color w:val="000000"/>
                <w:kern w:val="0"/>
                <w:sz w:val="24"/>
                <w:szCs w:val="24"/>
                <w14:ligatures w14:val="none"/>
              </w:rPr>
              <w:t>Miễn phí trên số tiền gửi lại</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Dịch vụ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mất Hợp đồng TGCKH, GTCG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VNĐ/Tài khoản/Hợp đồng</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Cấp lại GTCG (mất, hỏng...)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20.000VNĐ/01 thẻ</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Phong tỏa TK, xác nhận TK (vay cầm cố …) theo yêu cầu của NH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xml:space="preserve">300.000 VNĐ/ lần/ tài khoản </w:t>
            </w:r>
            <w:r w:rsidRPr="00E34F1A">
              <w:rPr>
                <w:rFonts w:ascii="&quot;Times New Roman&quot;" w:eastAsia="Times New Roman" w:hAnsi="&quot;Times New Roman&quot;" w:cs="Arial"/>
                <w:color w:val="000000"/>
                <w:kern w:val="0"/>
                <w:sz w:val="24"/>
                <w:szCs w:val="24"/>
                <w14:ligatures w14:val="none"/>
              </w:rPr>
              <w:br/>
              <w:t xml:space="preserve"> (15USD/ lần/ tài khoản)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kết nối thanh toán tài khoản VNĐ</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 VNĐ/năm/TK</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kết nối thanh toán tài khoản ngoại tệ</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USD/năm</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quyền sở hữu TG CKH/GTCG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 sổ/ thẻ/ bản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Dịch vụ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Cấp lại Hợp đồng tiền gửi có kỳ hạn (Trường hợp mất, hỏng, v.v…)</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đồng/Hợp đồng</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14:ligatures w14:val="none"/>
              </w:rPr>
            </w:pPr>
            <w:r w:rsidRPr="00E34F1A">
              <w:rPr>
                <w:rFonts w:ascii="&quot;Times New Roman&quot;" w:eastAsia="Times New Roman" w:hAnsi="&quot;Times New Roman&quot;" w:cs="Arial"/>
                <w:color w:val="000000"/>
                <w:kern w:val="0"/>
                <w14:ligatures w14:val="none"/>
              </w:rPr>
              <w:t>H9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Thay đổi thông tin cá nhân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14:ligatures w14:val="none"/>
              </w:rPr>
            </w:pPr>
            <w:r w:rsidRPr="00E34F1A">
              <w:rPr>
                <w:rFonts w:ascii="&quot;Times New Roman&quot;" w:eastAsia="Times New Roman" w:hAnsi="&quot;Times New Roman&quot;" w:cs="Arial"/>
                <w:color w:val="000000"/>
                <w:kern w:val="0"/>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II. DỊCH VỤ CHUYỂN TIỀN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A. Chuyển tiền cùng hệ thống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Chuyển tiền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Trích tài khoản chuyển tiền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1.1.1. Cùng chi nhánh mở TK ̣̣(cùng mã cân đối)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khoản VND</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khoản ngoại tệ (theo quy định của pháp lệnh ngoại hối NHNN)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1.1.2. Khác chi nhánh mở TK (khác mã cân đối)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D2/B0</w:t>
            </w:r>
          </w:p>
        </w:tc>
        <w:tc>
          <w:tcPr>
            <w:tcW w:w="259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tiền VND cùng tỉnh, thành phố</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D3/B1</w:t>
            </w:r>
          </w:p>
        </w:tc>
        <w:tc>
          <w:tcPr>
            <w:tcW w:w="259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khoản VNĐ khác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D4/B2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khoản ngoại tệ cùng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D5/B3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khoản ngoại tệ khác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0,03%</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Giao dịch gửi rút nhiều nơi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D6/B4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Khách hàng thụ hưởng cùng tỉnh, thành phố với nơi giao dịch và nơi người chuyển tiền mở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D7/B5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Khách hàng thụ hưởng có tài khoản khác tỉnh, thành phố với nơi giao dịch hoặc nơi người chuyển tiền mở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0,04%</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D8/B6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Khách hàng thụ hưởng cùng tỉnh, thành phố với nơi giao dịch và nơi người chuyển tiền mở tài khoản đối với chuyển khoản ngoại tệ</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D9/B7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Khách hàng thụ hưởng khác tỉnh, thành phố với nơi giao dịch hoặc nơi người chuyển tiền mở tài khoản đối với chuyển khoản ngoại tệ</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218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Chuyển khoản đến: Không thu phí đối với các giao dịch nhận chuyển tiền đến trả vào tài khoản từ ngân hàng trong nước.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B. Giao dịch khác hệ thống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Chuyển tiền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Trích tài khoản chuyển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1.1.1. Chuyển VND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Số tiền chuyển &lt; 500 triệu VND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Số tiền chuyển ≥ 500 triệu VND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0,04%</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tiền nộp thuế điện tử trường hợp KBNN mở tại NHTM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l.000.000 VNĐ</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1.1.2. Chuyển ngoại tệ</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ngoại tệ cùng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0,03%</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ngoại tệ khác tỉnh, TP</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Chuyển tiền đến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DE/BH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tiền đi của Công ty kiều hối mở tại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0,04%</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C. Chuyển tiền khác theo thỏa thuận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Chuyển khoản theo thỏa thuận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E0/F0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tiền đi cùng hệ thống định kỳ theo thỏa thuận, chuyển khoản tự động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l.000.000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E1/F1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tiền đi khác hệ thống định kỳ theo thỏa thuận, chuyển khoản tự động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2.500.000 VNĐ</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Trích TK trả theo danh sách; chi trả lương vào TK theo thỏa thuận đối với người thụ hưởng có TK cùng CN cùng hệ thống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phí chuyển tiền tương ứng hoặc theo thỏa thuận</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Trích TK trả theo danh sách; chi trả lương vào TK theo thỏa thuận đối với người thụ hưởng có TK khác CN cùng hệ thống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phí chuyển tiền tương ứng hoặc theo thỏa thuận</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Trích TK trả theo danh sách; chi trả lương vào TK theo thỏa thuận đối với người thụ hưởng có TK khác CN khác hệ thống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phí chuyển tiền tương ứng hoặc theo thỏa thuận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vốn tự động (Dịch vụ quản lý TK tập trung vốn, Sweep in/out …)</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 VNĐ/GD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 GD</w:t>
            </w:r>
          </w:p>
        </w:tc>
      </w:tr>
      <w:tr w:rsidR="00E34F1A" w:rsidRPr="00E34F1A" w:rsidTr="00E34F1A">
        <w:trPr>
          <w:trHeight w:val="3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Nhận chuyển tiền đến để chuyển tiếp (Chỉ áp dụng với các chuyển tiền từ ngân hàng khác hệ thống để thực hiện chuyển tiếp trong hệ thống hoặc chuyển tiếp đến NH khác hệ thống- CN chủ động thỏa thuận với ngân hàng chuyển trên địa bàn để xác định mức thu, phương thức thu).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thoả thuận</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Tra soát chuyển tiền trong nước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điều chỉnh; hủy lệnh chuyển tiền đi, đến cùng hệ thống theo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VNĐ/lần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điều chỉnh; hủy lệnh chuyển tiền đi, đến khác hệ thống theo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VNĐ/lần</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14:ligatures w14:val="none"/>
              </w:rPr>
            </w:pPr>
            <w:r w:rsidRPr="00E34F1A">
              <w:rPr>
                <w:rFonts w:ascii="&quot;Times New Roman&quot;" w:eastAsia="Times New Roman" w:hAnsi="&quot;Times New Roman&quot;" w:cs="Arial"/>
                <w:color w:val="000000"/>
                <w:kern w:val="0"/>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III. DỊCH VỤ NHÂN QUỸ</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Phí thu đổi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1.1. Thu đổi tiền mặt ngoại tệ lấy VND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 Đổi ngoại tệ lấy ngoại tệ cùng loại mệnh giá nhỏ hơn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1.3. Đổi ngoại tệ lấy ngoại tệ cùng loại mệnh giá nhỏ lấy mệnh giá lớn hơn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2%/số tiền đổi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1.4. Phí kiểm định tiền thật, giả kiêm kiểm đếm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VNĐ/tờ hoặc 2 USD đối với ngoại tệ</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H0/A2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Dịch vụ thu, chi tiền mặt tại địa chỉ khách hàng (Agribank trực tiếp thu, chi tại địa điểm khách hàng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Giá trị thu/chi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VNĐ/lần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2.500.000 VNĐ/lần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H1/A3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1.6. Dịch vụ vận chuyển tiền khi thu, chi tiền ngoài trụ sở Chi nhánh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 VNĐ/lần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Dịch vụ gửi tiền vào kho</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2.1. Gửi tiền vào kho qua đêm có kiểm đếm số lượng thực tế (tờ)</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0,07%/Sổ tiền giữ hộ + phí kiểm đếm (thỏa thuận nếu có)</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 hoặc 10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2.2. Gửi tiền vào kho qua đêm thu theo túi niêm phong có kiểm đếm (thếp, bó)</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0,05%/Số tiền giữ hộ + phí kiểm đếm (thỏa thuận nếu có)</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 hoặc 10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2.3. Gửi tiền vào kho qua đêm thu theo túi niêm phong không kiểm đếm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0,03%/Số tiền kê khai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 hoặc 10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Dịch vụ giữ hộ tài sản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3.1. Giữ hộ GTCG là chứng chỉ tiền gửi; kỳ phiếu; trái phiếu...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0,03%/mệnh giá/tháng (hoặc 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 3USD/ tờ/tháng/lần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3.2. Giữ hộ giấy tờ, tài liệu quan trọng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thoả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70.000 VNĐ/4USD/ tờ/tháng/lần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3.3. Dịch vụ giữ hộ Bảo quản tài sản quý hiếm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3.4. Phí kiểm tra tài sản gửi bảo quản hoặc thăm tủ/két thuê (vượt quá số lần kiểm tra miễn phí theo quy định)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VNĐ/lần/túi/két</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3.5. Phí cấp lại hợp đồng, biên bản giao/nhận tài sản, giấy tờ liên quan đến sử dụng dịch vụ bảo quản tài sản, v.v…</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VNĐ/cấp lại/dịch vụ</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 Dịch vụ ngân quỹ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14:ligatures w14:val="none"/>
              </w:rPr>
            </w:pPr>
            <w:r w:rsidRPr="00E34F1A">
              <w:rPr>
                <w:rFonts w:ascii="&quot;Times New Roman&quot;" w:eastAsia="Times New Roman" w:hAnsi="&quot;Times New Roman&quot;" w:cs="Arial"/>
                <w:color w:val="000000"/>
                <w:kern w:val="0"/>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IV. GIAO DICH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Quản lý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Cung ứng séc trắng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chi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Đình chỉ thanh toán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mất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VNĐ/lần + phí gửi đi nhờ thu qua bưu điện (nếu có)</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Thanh toán Séc do Agribank phát hành (Thu phí người thụ hưởng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Séc lĩnh tiền mặt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Séc phát hành cho chính chủ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mức phí tại mã phí DP/B6</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Séc phát hành cho người khác (Thu theo mức phí chuyển tiền, không thu thêm mức phí rút tiền mặt tại mã phí DP/B6)</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r>
      <w:tr w:rsidR="00E34F1A" w:rsidRPr="00E34F1A" w:rsidTr="00E34F1A">
        <w:trPr>
          <w:trHeight w:val="156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Séc chuyển khoản: Thu theo mức phí tương ứng chuyển tiền đi từ tài khoản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Thông báo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séc không đủ khả năng thanh toán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 Thu hộ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Séc do Agribank phát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Séc do Tổ chức cung ứng dịch vụ thanh toán khác trong nước phát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VNĐ/tờ + Cước phí bưu điện (nếu có)</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5. Đình chỉ thanh toán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Đình chỉ thanh toán séc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14:ligatures w14:val="none"/>
              </w:rPr>
            </w:pPr>
            <w:r w:rsidRPr="00E34F1A">
              <w:rPr>
                <w:rFonts w:ascii="&quot;Times New Roman&quot;" w:eastAsia="Times New Roman" w:hAnsi="&quot;Times New Roman&quot;" w:cs="Arial"/>
                <w:color w:val="000000"/>
                <w:kern w:val="0"/>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V. DỊCH VỤ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8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Dịch vụ tư vấn khách hàng (Tư vấn về tiền tệ; thanh toán; quản lý tiền vốn,v.v...không liên quan đến hoạt động cho vay)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 /lần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Trung gian thanh toán (giao dịch bất động sản, mua bán hàng hóa...)</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550.000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Xác nhận số dư TK tiền gửi, tiền vay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7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1. Xác nhận số dư TK tiền gửi, tiền vay bằng tiếng Việt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 VNĐ/l bản đầu tiên/ 1TK/ 1 thời điểm. 10.000 VNĐ/cho 1 bản tiếp theo</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7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3.2. Xác nhận số dư TK tiền gửi, tiền vay bằng tiếng Anh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VNĐ/l bản đầu tiên/ 1TK/ 1 thời điểm. 30.000 VNĐ/cho 1 bản tiếp theo</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 Cung cấp sao kê</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7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4.1. Cung cấp sao kê tài khoản thanh toán (in sao kê giao dịch của tháng hiện tại và tháng liền trước tháng hiện tại)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312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4.2. Cung cấp sao kê chi tiết giao dịch theo yêu cầu của khách hàng đối với các giao dịch trong vòng 1 năm kể từ ngày yêu cầu tại chi nhánh nơi mở tài khoản (chi nhánh gốc)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 VNĐ/trang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80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4.3. Cung cấp sao kê chi tiết giao dịch theo yêu cầu của khách hàng đối với các giao dịch trên 1 năm kể từ ngày yêu cầu tại chi nhánh nơi mở tài khoản (chi nhánh gốc)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 VNĐ/trang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4.4. Cung cấp sao kê chi tiết giao dịch theo yêu cầu của khách hàng đối với các giao dịch trong vòng 1 năm kể từ ngày yêu cầu tại chi nhánh khác nơi mở tài khoản (chi nhánh giao dịch)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 VNĐ/trang hoặc 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4.5. Cung cấp sao kê chi tiết giao dịch theo yêu cầu của khách hàng đối với các giao dịch trên 1 năm kể từ ngày yêu cầu tại chi nhánh khác nơi mở tài khoản (chi nhánh giao dịch)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VNĐ/trang hoặc 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6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4.6. Cung cấp sao kê TK ngoại tệ theo yêu cầu, đột xuất (ngoài nội dung miễn phí tại điểm 4.1)</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 USD/lần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jc w:val="center"/>
              <w:rPr>
                <w:rFonts w:ascii="Cambria" w:eastAsia="Times New Roman" w:hAnsi="Cambria" w:cs="Arial"/>
                <w:color w:val="000000"/>
                <w:kern w:val="0"/>
                <w:sz w:val="24"/>
                <w:szCs w:val="24"/>
                <w14:ligatures w14:val="none"/>
              </w:rPr>
            </w:pPr>
            <w:r w:rsidRPr="00E34F1A">
              <w:rPr>
                <w:rFonts w:ascii="Cambria" w:eastAsia="Times New Roman" w:hAnsi="Cambria"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M7</w:t>
            </w:r>
          </w:p>
        </w:tc>
        <w:tc>
          <w:tcPr>
            <w:tcW w:w="259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4.7. Phí cung cấp sổ phụ điện tử tài khoản VND</w:t>
            </w:r>
          </w:p>
        </w:tc>
        <w:tc>
          <w:tcPr>
            <w:tcW w:w="4693" w:type="dxa"/>
            <w:gridSpan w:val="3"/>
            <w:tcBorders>
              <w:top w:val="single" w:sz="4" w:space="0" w:color="000000"/>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VNĐ/TK/tháng</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jc w:val="center"/>
              <w:rPr>
                <w:rFonts w:ascii="Cambria" w:eastAsia="Times New Roman" w:hAnsi="Cambria" w:cs="Arial"/>
                <w:color w:val="000000"/>
                <w:kern w:val="0"/>
                <w:sz w:val="24"/>
                <w:szCs w:val="24"/>
                <w14:ligatures w14:val="none"/>
              </w:rPr>
            </w:pPr>
            <w:r w:rsidRPr="00E34F1A">
              <w:rPr>
                <w:rFonts w:ascii="Cambria" w:eastAsia="Times New Roman" w:hAnsi="Cambria"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LP</w:t>
            </w:r>
          </w:p>
        </w:tc>
        <w:tc>
          <w:tcPr>
            <w:tcW w:w="2596" w:type="dxa"/>
            <w:tcBorders>
              <w:top w:val="nil"/>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4.8. Phí cung dịch vụ sổ phụ điện tử tài khoản ngoại tệ</w:t>
            </w:r>
          </w:p>
        </w:tc>
        <w:tc>
          <w:tcPr>
            <w:tcW w:w="4693" w:type="dxa"/>
            <w:gridSpan w:val="3"/>
            <w:tcBorders>
              <w:top w:val="single" w:sz="4" w:space="0" w:color="000000"/>
              <w:left w:val="nil"/>
              <w:bottom w:val="single" w:sz="4" w:space="0" w:color="000000"/>
              <w:right w:val="single" w:sz="4" w:space="0" w:color="000000"/>
            </w:tcBorders>
            <w:shd w:val="clear" w:color="auto" w:fill="auto"/>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USD/TK/tháng</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5. Cung cấp bản sao chứng từ</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5.1. Cung cấp bản sao chứng từ lưu trữ dưới 1 năm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 VNĐ/ trang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5.2. Cung cấp bản sao chứng từ lưu trữ từ 1 đến 3 năm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 VNĐ/ trang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80.000 VNĐ/bản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5.3. Cung cấp bản sao chứng từ lưu trữ trên 3 năm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 /trang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VNĐ/bản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5.4. Cấp bản sao giấy tờ đảm bảo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 tối thiểu 10.000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5.5. Cấp bản sao giấy tờ đảm bảo có xác nhận công chứng nhà nước (Chưa kể phí công chứng)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 tối thiểu 10.000 VNĐ/tờ</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LV</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5.6. Cung cấp xác nhận thông tin khoản vay (dư nợ, lịch sử trả nợ khoản vay….)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VNĐ/yêu cầu</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8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6. Xác nhận theo yêu cầu của kiểm toán; phát hành văn bản theo đề nghị của khách hàng (không liên quan đến hoạt động cho vay)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 bản</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7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7. Thông báo tiền đến cho người nhận theo yêu cầu của người chuyển (thu của người chuyển tiền)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8. Phí điện SWIFT, điện phí, chuyển tiếp điện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N0/K0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8.1. Phí điện SWIFT- Phát hành Thư tín dụng (trong nước/nước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USD/điện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N1/KW</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8.2. Phí điện SWIFT- Điện khác (trong nước/nước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USD/điện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P0/L0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8.3. Phí kiểm tra mật mã (Teskey) của ngân hàng đại lý trong nước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Pl/Ll</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8.4. Phí kiểm tra mật mã (Teskey) cùa ngân hàng đại lý 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 USD</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P3/L3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8.5. Chuyển tiếp điện của NHĐL trong nước cho NHDL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P4/L4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8.6. Chuyển tiếp điện của NHĐL nước ngoài cho NHDL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P5/L5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8.7. Điện phí, TELEX phí, FAX, gửi bằng thư đảm bảo/gửi bằng hình thức phát chuyển nhanh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mức phí thực tế của Bưu điện hoặc của hãng chuyển phát nhanh</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P2/L2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9. Phí quản lý tài khoản vay nợ, viện trợ Chính phủ ODA</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l0 USD/tháng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10. Cấp, đổi giấy phép mang ngoại tệ</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8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Cấp giấy xác nhận mang ngoại tệ ra nước ngoài (cho công dân Việt Nam để phục vụ các nhu cầu thanh toán vãng lai)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 USD/lần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N5/B2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Dịch vụ khác theo yêu cầu của khách hàng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Thoả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Phí thu từ KBNN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8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GA</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Bl</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14. Cung cấp các loại giấy tờ khác liên quan (phí này chưa bao gồm các phí khác như: phí công chứng, phí xác nhận....)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nil"/>
              <w:left w:val="nil"/>
              <w:bottom w:val="nil"/>
              <w:right w:val="nil"/>
            </w:tcBorders>
            <w:shd w:val="clear" w:color="FFF2CC" w:fill="FFF2CC"/>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r w:rsidRPr="00E34F1A">
              <w:rPr>
                <w:rFonts w:ascii="Times New Roman" w:eastAsia="Times New Roman" w:hAnsi="Times New Roman" w:cs="Times New Roman"/>
                <w:b/>
                <w:bCs/>
                <w:color w:val="000000"/>
                <w:kern w:val="0"/>
                <w:sz w:val="24"/>
                <w:szCs w:val="24"/>
                <w14:ligatures w14:val="none"/>
              </w:rPr>
              <w:t>Ghi chú:</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1.  Mã phí DP/F2 đến DP/F3 – Phí Quản lý tài khoản (Nội tệ, ngoại tệ):</w:t>
            </w:r>
            <w:r w:rsidRPr="00E34F1A">
              <w:rPr>
                <w:rFonts w:ascii="Times New Roman" w:eastAsia="Times New Roman" w:hAnsi="Times New Roman" w:cs="Times New Roman"/>
                <w:b/>
                <w:bCs/>
                <w:color w:val="000000"/>
                <w:kern w:val="0"/>
                <w:sz w:val="24"/>
                <w:szCs w:val="24"/>
                <w14:ligatures w14:val="none"/>
              </w:rPr>
              <w:br/>
              <w:t xml:space="preserve">         Thu phí quản lý tài khoản áp dụng cho mọi đối tượng khách hàng có mở, sử dụng tài khoản thanh toán trong hệ thống Agribank.</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2.  Mã phí từ DP/F4 đến DP/F7 - Quản lý TK TGTT (Nội tệ, ngoại tệ):</w:t>
            </w:r>
            <w:r w:rsidRPr="00E34F1A">
              <w:rPr>
                <w:rFonts w:ascii="Times New Roman" w:eastAsia="Times New Roman" w:hAnsi="Times New Roman" w:cs="Times New Roman"/>
                <w:b/>
                <w:bCs/>
                <w:color w:val="000000"/>
                <w:kern w:val="0"/>
                <w:sz w:val="24"/>
                <w:szCs w:val="24"/>
                <w14:ligatures w14:val="none"/>
              </w:rPr>
              <w:br/>
              <w:t xml:space="preserve">         Áp dụng khi khách hàng đăng ký dịch vụ tài khoản thanh toán chung hoặc quản lý tài khoản trong trường hợp đặc biệt. Chi nhánh thu phí định kỳ theo tháng, quý…</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3.  Mã phí DP/F9, DP/FB - Đóng sớm TK (hợp đồng tiền gửi) theo yêu cầu khách hàng (Nội tệ, ngoại tệ):</w:t>
            </w:r>
            <w:r w:rsidRPr="00E34F1A">
              <w:rPr>
                <w:rFonts w:ascii="Times New Roman" w:eastAsia="Times New Roman" w:hAnsi="Times New Roman" w:cs="Times New Roman"/>
                <w:b/>
                <w:bCs/>
                <w:color w:val="000000"/>
                <w:kern w:val="0"/>
                <w:sz w:val="24"/>
                <w:szCs w:val="24"/>
                <w14:ligatures w14:val="none"/>
              </w:rPr>
              <w:br/>
              <w:t xml:space="preserve">         Thời gian đóng sớm đối với các sản phẩm tiền gửi thực hiện theo quy định hiện hành của Tổng Giám đốc.</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4.  Mã phí từ DP/FX C0/A0 đến DP/FX C7/A7 - Nộp tiền mặt khác Chi nhánh mở tài khoản:</w:t>
            </w:r>
            <w:r w:rsidRPr="00E34F1A">
              <w:rPr>
                <w:rFonts w:ascii="Times New Roman" w:eastAsia="Times New Roman" w:hAnsi="Times New Roman" w:cs="Times New Roman"/>
                <w:b/>
                <w:bCs/>
                <w:color w:val="000000"/>
                <w:kern w:val="0"/>
                <w:sz w:val="24"/>
                <w:szCs w:val="24"/>
                <w14:ligatures w14:val="none"/>
              </w:rPr>
              <w:br/>
              <w:t xml:space="preserve">         - Áp dụng với các sản phẩm tiền gửi khách hàng tổ chức được phép giao dịch khác chi nhánh.</w:t>
            </w:r>
            <w:r w:rsidRPr="00E34F1A">
              <w:rPr>
                <w:rFonts w:ascii="Times New Roman" w:eastAsia="Times New Roman" w:hAnsi="Times New Roman" w:cs="Times New Roman"/>
                <w:b/>
                <w:bCs/>
                <w:color w:val="000000"/>
                <w:kern w:val="0"/>
                <w:sz w:val="24"/>
                <w:szCs w:val="24"/>
                <w14:ligatures w14:val="none"/>
              </w:rPr>
              <w:br/>
              <w:t xml:space="preserve">         - Áp dụng cho khách hàng nộp tiền mặt/chuyển tiền cho người hưởng có tài khoản cùng hệ thống.</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5.  Mã phí DP/G0 - Thông báo mất hợp đồng TGCKH, giấy tờ có giá (GTCG):</w:t>
            </w:r>
            <w:r w:rsidRPr="00E34F1A">
              <w:rPr>
                <w:rFonts w:ascii="Times New Roman" w:eastAsia="Times New Roman" w:hAnsi="Times New Roman" w:cs="Times New Roman"/>
                <w:b/>
                <w:bCs/>
                <w:color w:val="000000"/>
                <w:kern w:val="0"/>
                <w:sz w:val="24"/>
                <w:szCs w:val="24"/>
                <w14:ligatures w14:val="none"/>
              </w:rPr>
              <w:br/>
              <w:t xml:space="preserve">- Áp dụng thu 1 lần khi khách hàng bị mất Hợp đồng TGCKH, GTCG bằng VNĐ và ngoại tệ đến Ngân hàng báo mất. </w:t>
            </w:r>
            <w:r w:rsidRPr="00E34F1A">
              <w:rPr>
                <w:rFonts w:ascii="Times New Roman" w:eastAsia="Times New Roman" w:hAnsi="Times New Roman" w:cs="Times New Roman"/>
                <w:b/>
                <w:bCs/>
                <w:color w:val="000000"/>
                <w:kern w:val="0"/>
                <w:sz w:val="24"/>
                <w:szCs w:val="24"/>
                <w14:ligatures w14:val="none"/>
              </w:rPr>
              <w:br/>
              <w:t>- Trường hợp sau khi báo mất, khách hàng tìm lại được Hợp đồng TGCKH, GTCG Ngân hàng không hoàn lại phí đã thu.</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6.  Mã phí DP/G1; DP/G7- Cấp lại GTCG, cấp lại Hợp đồng TGCKH</w:t>
            </w:r>
            <w:r w:rsidRPr="00E34F1A">
              <w:rPr>
                <w:rFonts w:ascii="Times New Roman" w:eastAsia="Times New Roman" w:hAnsi="Times New Roman" w:cs="Times New Roman"/>
                <w:b/>
                <w:bCs/>
                <w:color w:val="000000"/>
                <w:kern w:val="0"/>
                <w:sz w:val="24"/>
                <w:szCs w:val="24"/>
                <w14:ligatures w14:val="none"/>
              </w:rPr>
              <w:br/>
              <w:t>Áp dụng thu khi cấp lại Hợp đồng TGCKH, GTCG</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7.  Phí kết nối thanh toán </w:t>
            </w:r>
            <w:r w:rsidRPr="00E34F1A">
              <w:rPr>
                <w:rFonts w:ascii="Times New Roman" w:eastAsia="Times New Roman" w:hAnsi="Times New Roman" w:cs="Times New Roman"/>
                <w:b/>
                <w:bCs/>
                <w:color w:val="000000"/>
                <w:kern w:val="0"/>
                <w:sz w:val="24"/>
                <w:szCs w:val="24"/>
                <w14:ligatures w14:val="none"/>
              </w:rPr>
              <w:br/>
              <w:t xml:space="preserve">         Áp dụng đối với khách hàng có sử dụng dịch vụ kết nối thanh toán của  Agribank. </w:t>
            </w:r>
          </w:p>
        </w:tc>
      </w:tr>
      <w:tr w:rsidR="00E34F1A" w:rsidRPr="00E34F1A" w:rsidTr="00E34F1A">
        <w:trPr>
          <w:trHeight w:val="408"/>
        </w:trPr>
        <w:tc>
          <w:tcPr>
            <w:tcW w:w="9980" w:type="dxa"/>
            <w:gridSpan w:val="6"/>
            <w:vMerge w:val="restart"/>
            <w:tcBorders>
              <w:top w:val="nil"/>
              <w:left w:val="nil"/>
              <w:bottom w:val="nil"/>
              <w:right w:val="nil"/>
            </w:tcBorders>
            <w:shd w:val="clear" w:color="auto" w:fill="auto"/>
            <w:noWrap/>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p>
        </w:tc>
      </w:tr>
      <w:tr w:rsidR="00E34F1A" w:rsidRPr="00E34F1A" w:rsidTr="00E34F1A">
        <w:trPr>
          <w:trHeight w:val="408"/>
        </w:trPr>
        <w:tc>
          <w:tcPr>
            <w:tcW w:w="9980" w:type="dxa"/>
            <w:gridSpan w:val="6"/>
            <w:vMerge/>
            <w:tcBorders>
              <w:top w:val="nil"/>
              <w:left w:val="nil"/>
              <w:bottom w:val="nil"/>
              <w:right w:val="nil"/>
            </w:tcBorders>
            <w:vAlign w:val="center"/>
            <w:hideMark/>
          </w:tcPr>
          <w:p w:rsidR="00E34F1A" w:rsidRPr="00E34F1A" w:rsidRDefault="00E34F1A" w:rsidP="00E34F1A">
            <w:pPr>
              <w:spacing w:after="0" w:line="240" w:lineRule="auto"/>
              <w:rPr>
                <w:rFonts w:ascii="Times New Roman" w:eastAsia="Times New Roman" w:hAnsi="Times New Roman" w:cs="Times New Roman"/>
                <w:b/>
                <w:bCs/>
                <w:color w:val="000000"/>
                <w:kern w:val="0"/>
                <w:sz w:val="24"/>
                <w:szCs w:val="24"/>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w:t>
            </w:r>
            <w:r w:rsidRPr="00E34F1A">
              <w:rPr>
                <w:rFonts w:ascii="&quot;Times New Roman&quot;" w:eastAsia="Times New Roman" w:hAnsi="&quot;Times New Roman&quot;" w:cs="Arial"/>
                <w:b/>
                <w:bCs/>
                <w:color w:val="000000"/>
                <w:kern w:val="0"/>
                <w:sz w:val="28"/>
                <w:szCs w:val="28"/>
                <w14:ligatures w14:val="none"/>
              </w:rPr>
              <w:lastRenderedPageBreak/>
              <w:t>30/09/2024)</w:t>
            </w:r>
            <w:r w:rsidRPr="00E34F1A">
              <w:rPr>
                <w:rFonts w:ascii="&quot;Times New Roman&quot;" w:eastAsia="Times New Roman" w:hAnsi="&quot;Times New Roman&quot;" w:cs="Arial"/>
                <w:b/>
                <w:bCs/>
                <w:color w:val="000000"/>
                <w:kern w:val="0"/>
                <w:sz w:val="28"/>
                <w:szCs w:val="28"/>
                <w14:ligatures w14:val="none"/>
              </w:rPr>
              <w:br/>
              <w:t xml:space="preserve"> DỊCH VỤ BẢO LÃNH</w:t>
            </w:r>
          </w:p>
        </w:tc>
      </w:tr>
      <w:tr w:rsidR="00E34F1A" w:rsidRPr="00E34F1A" w:rsidTr="00E34F1A">
        <w:trPr>
          <w:trHeight w:val="264"/>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lastRenderedPageBreak/>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1.Bảo lãnh trong nước</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1.1.Phát hành bảo lãnh (Thu phí trên giá trị cam kết bảo lãnh)</w:t>
            </w:r>
          </w:p>
        </w:tc>
      </w:tr>
      <w:tr w:rsidR="00E34F1A" w:rsidRPr="00E34F1A" w:rsidTr="00E34F1A">
        <w:trPr>
          <w:trHeight w:val="21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sửa đổi bảo lãnh đảm bảo 100% bằng TKTG, tài khoản ký quỹ tại Agribank; sổ tiết kiệm, kỳ phiếu hoặc giấy tờ có giá do Agribank phát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1 %/năm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sửa đổi bảo lãnh ký quỹ dưới 100%; Bảo lãnh đảm bảo bằng hình thức khác (có TSĐB 100%).</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dự thầu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bảo đảm chất lượng sản phẩm</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thực hiện hợp đồng, bảo lãnh hoàn trả tiền ứng trước.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700.000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vay vốn, bảo lãnh thanh toán, bảo lãnh thuế, bảo lãnh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sửa đổi bảo bằng hình thức khác (Đối với trường hợp không có tài sản đảm bảo hoặc không đủ tài sản đảm bảo).</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Sửa đổi bảo lãnh</w:t>
            </w:r>
          </w:p>
        </w:tc>
      </w:tr>
      <w:tr w:rsidR="00E34F1A" w:rsidRPr="00E34F1A" w:rsidTr="00E34F1A">
        <w:trPr>
          <w:trHeight w:val="374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1.2.1. Sửa đổi tăng số tiền (Tính phí trên số tiền tăng thêm kể từ ngày phát hành sửa đổi đến ngày hết hạn); Sửa đổi gia hạn ngày hiệu lực (Tính phí trên giá trị bảo lãnh kể từ ngày hết hạn hiệu lực cũ đến ngày hiệu lực mới):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Mức phí thu như phí phát hành bảo lãnh tại Mục 1.1</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1.2.2. Sửa đổi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VNĐ/lần</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Hủy thư bảo lãnh</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bảo lãnh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VNĐ/lần</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1.4. Phát hành/sửa đổi bảo lãnh trên cơ sở bảo lãnh đối ứng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biểu phí dành cho khách hàng tổ chức tín dụng</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1.5. Thông báo bảo lãnh trong nước qua SWIFT</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1.5.1. Thông báo thư bảo lãnh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700.000 VNĐ/lần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1.5.2. Thông báo sửa đổi thư bảo lãnh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1.5.3. Thông báo hủy thư bảo lãnh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VNĐ/lần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1.5.4. Thông báo điện theo yêu cầu của Ngân hàng đại lý</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VNĐ/lần</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1.6. Đòi hộ khách hàng theo cam kết bảo lãnh của ngân hàng đại lý</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1.6.1. Nhận và xử lý yêu cầu của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1.6.2 Thanh toán kết quả đòi tiền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đòi tiền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600.000 VNĐ/lần</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6.000.000 VNĐ/lần</w:t>
            </w:r>
          </w:p>
        </w:tc>
      </w:tr>
      <w:tr w:rsidR="00E34F1A" w:rsidRPr="00E34F1A" w:rsidTr="00E34F1A">
        <w:trPr>
          <w:trHeight w:val="187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1.7. Xác nhận bảo lãnh của NHĐL/xác nhận sửa đổi/sửa đổi bảo lãnh của NHĐL và các dịch vụ khác liên quan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biểu phí dành cho khách hàng tổ chức tín dụng</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1.8. Dịch vụ khác liên quan (Tính phí trên giá trị cam kết bảo lãnh)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1.8.1. Phí dịch thư bảo lãnh tiếng Việt sang tiếng Anh để tham chiếu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phát sinh thực tế</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VNĐ/trang</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1.8.2. Phí thẩm định hồ sơ bảo lãnh (Nếu được phép của NHNN)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0,1%/Số tiền khách hàng đề nghị cấp bảo lãnh</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1.8.3. Xác thực bảo lãnh do Agribank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1.8.4. Dịch vụ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Bảo lãnh 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Phát hành bảo lãnh (Tính phí trên giá trị cam kết bảo lãnh)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1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ký quỹ/bảo đảm 100% bằng tiền (VND và/hoặc ngoại tệ) trên tài khoản tiền gửi không kỳ hạn, tài khoản ký quỹ tại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0,6%/năm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BI</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bảo đảm 100% bằng tài khoản có kỳ hạn, sổ tiết kiệm, kỳ phiếu hoặc giấy tờ có giá do Agribank phát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0,72%/năm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ký quỹ dưới 100%; Bảo lãnh đảm bảo bằng hình thức khác (có TSĐB 100%), trong đó:</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dự thầu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bảo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thực hiện hợp đồng, bảo lãnh hoàn trả tiền ứng trước.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35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thanh toán, bảo lãnh thuế, bảo lãnh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BL</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Bảo lãnh đối với trường hợp không có TSĐB hoặc không đủ TSĐB</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Sửa đổi bảo lãnh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2.2.1. Sửa đổi tăng số tiền (Tính phí trên số tiền tăng thêm kể từ ngày phát hành sửa đổi đến ngày hết hạn); Sửa đổi gia hạn ngày hiệu lực (Tính phí trên giá trị bảo lãnh kể từ ngày hết hạn hiệu lực cũ đến ngày hiệu lực mới):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Mức phí thu như phí phát hành bảo lãnh tại Mục 2.1</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2.2.2. Sửa đổi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2.3 Giải tỏa thư bảo lãnh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2.3.1 Giải tỏa bảo lãnh hết hiệu lực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2.3.2 Giải tỏa bảo lãnh trước hạn theo đề nghị của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2.4 Thanh toán bảo lãnh do Agribank phát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bảo lãnh</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 USD/lần</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250 USD/lần</w:t>
            </w:r>
          </w:p>
        </w:tc>
      </w:tr>
      <w:tr w:rsidR="00E34F1A" w:rsidRPr="00E34F1A" w:rsidTr="00E34F1A">
        <w:trPr>
          <w:trHeight w:val="156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2.5 Phát hành/sửa đổi bảo lãnh trên cơ sở bảo lãnh đối ứng của ngân hàng nước ngoài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biểu phí dành cho khách hàng tổ chức tín dụng</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2.6 Thông báo bảo lãnh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thư bảo lãnh của NH nước ngoài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 USD/lần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sửa đổi thư bảo lãnh của NH nước ngoài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hủy bảo lãnh của NH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CN</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điện theo yêu cầu của Ngân hàng đại lý</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2.7 Đòi hộ khách hàng theo cam kết bảo lãnh của ngân hàng đại lý</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2.7.1 Nhận và xử lý yêu cầu của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40 USD/lần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2.7.2 Thanh toán kết quả đòi tiền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đòi tiền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 USD/lần</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250 USD/lần</w:t>
            </w:r>
          </w:p>
        </w:tc>
      </w:tr>
      <w:tr w:rsidR="00E34F1A" w:rsidRPr="00E34F1A" w:rsidTr="00E34F1A">
        <w:trPr>
          <w:trHeight w:val="187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2.8 Xác nhận bảo lãnh của NHĐL/xác nhận sửa đổi/sửa đổi bảo lãnh của NHĐL và các dịch vụ khác liên quan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biểu phí dành cho khách hàng tổ chức tín dụng</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2.9 Dịch vụ khác liên quan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thực chữ ký/xác thực thư bảo lãnh do ngân hàng ngoài hệ thống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25 USD/01 bảo lãnh</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20USD/lần</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Thanh toán bảo lãnh do Agribank phát hành trên cơ sở bảo lãnh đối ứng của NH nước ngoài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biểu phí dành cho khách hàng tổ chức tín dụng</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CI</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thực bảo lãnh do Agribank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 dụng mẫu thư bảo lãnh theo yêu cầu của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USD/thư</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CM</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Dịch vụ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2.10 Điện phí</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Điện SWIFT phát hành Thư bảo lãnh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Điện SWIFT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FFF2CC" w:fill="FFF2CC"/>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r w:rsidRPr="00E34F1A">
              <w:rPr>
                <w:rFonts w:ascii="Times New Roman" w:eastAsia="Times New Roman" w:hAnsi="Times New Roman" w:cs="Times New Roman"/>
                <w:b/>
                <w:bCs/>
                <w:color w:val="000000"/>
                <w:kern w:val="0"/>
                <w:sz w:val="24"/>
                <w:szCs w:val="24"/>
                <w14:ligatures w14:val="none"/>
              </w:rPr>
              <w:t>Ghi chú:</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1.  Phí phát hành bảo lãnh:</w:t>
            </w:r>
            <w:r w:rsidRPr="00E34F1A">
              <w:rPr>
                <w:rFonts w:ascii="Times New Roman" w:eastAsia="Times New Roman" w:hAnsi="Times New Roman" w:cs="Times New Roman"/>
                <w:b/>
                <w:bCs/>
                <w:color w:val="000000"/>
                <w:kern w:val="0"/>
                <w:sz w:val="24"/>
                <w:szCs w:val="24"/>
                <w14:ligatures w14:val="none"/>
              </w:rPr>
              <w:br/>
              <w:t xml:space="preserve">         -  Áp dụng trong trường hợp khách hàng đề nghị phát hành cam kết bảo lãnh (Cam kết bảo lãnh thanh toán, cam kết bảo lãnh dự thầu, …).</w:t>
            </w:r>
            <w:r w:rsidRPr="00E34F1A">
              <w:rPr>
                <w:rFonts w:ascii="Times New Roman" w:eastAsia="Times New Roman" w:hAnsi="Times New Roman" w:cs="Times New Roman"/>
                <w:b/>
                <w:bCs/>
                <w:color w:val="000000"/>
                <w:kern w:val="0"/>
                <w:sz w:val="24"/>
                <w:szCs w:val="24"/>
                <w14:ligatures w14:val="none"/>
              </w:rPr>
              <w:br/>
              <w:t xml:space="preserve">         Công thức tính phí phát hành bảo lãnh:</w:t>
            </w:r>
            <w:r w:rsidRPr="00E34F1A">
              <w:rPr>
                <w:rFonts w:ascii="Times New Roman" w:eastAsia="Times New Roman" w:hAnsi="Times New Roman" w:cs="Times New Roman"/>
                <w:b/>
                <w:bCs/>
                <w:color w:val="000000"/>
                <w:kern w:val="0"/>
                <w:sz w:val="24"/>
                <w:szCs w:val="24"/>
                <w14:ligatures w14:val="none"/>
              </w:rPr>
              <w:br/>
              <w:t xml:space="preserve">                                                                                                                              Số ngày bảo lãnh</w:t>
            </w:r>
            <w:r w:rsidRPr="00E34F1A">
              <w:rPr>
                <w:rFonts w:ascii="Times New Roman" w:eastAsia="Times New Roman" w:hAnsi="Times New Roman" w:cs="Times New Roman"/>
                <w:b/>
                <w:bCs/>
                <w:color w:val="000000"/>
                <w:kern w:val="0"/>
                <w:sz w:val="24"/>
                <w:szCs w:val="24"/>
                <w14:ligatures w14:val="none"/>
              </w:rPr>
              <w:br/>
              <w:t xml:space="preserve">            Phí phát hành bảo lãnh        =        Giá trị cam kết bảo lãnh         x  ------------------------   x     Tỷ lệ phí</w:t>
            </w:r>
            <w:r w:rsidRPr="00E34F1A">
              <w:rPr>
                <w:rFonts w:ascii="Times New Roman" w:eastAsia="Times New Roman" w:hAnsi="Times New Roman" w:cs="Times New Roman"/>
                <w:b/>
                <w:bCs/>
                <w:color w:val="000000"/>
                <w:kern w:val="0"/>
                <w:sz w:val="24"/>
                <w:szCs w:val="24"/>
                <w14:ligatures w14:val="none"/>
              </w:rPr>
              <w:br/>
              <w:t xml:space="preserve">                                                                                                                                          365                </w:t>
            </w:r>
            <w:r w:rsidRPr="00E34F1A">
              <w:rPr>
                <w:rFonts w:ascii="Times New Roman" w:eastAsia="Times New Roman" w:hAnsi="Times New Roman" w:cs="Times New Roman"/>
                <w:b/>
                <w:bCs/>
                <w:color w:val="000000"/>
                <w:kern w:val="0"/>
                <w:sz w:val="24"/>
                <w:szCs w:val="24"/>
                <w14:ligatures w14:val="none"/>
              </w:rPr>
              <w:br/>
              <w:t xml:space="preserve">         Số ngày bảo lãnh được tính từ ngày phát hành cam kết bảo lãnh đến ngày hết hiệu lực của cam kết bảo lãnh hoặc ngày Agribank nơi cấp bảo lãnh giải tỏa bảo lãnh trước thời hạn. </w:t>
            </w:r>
            <w:r w:rsidRPr="00E34F1A">
              <w:rPr>
                <w:rFonts w:ascii="Times New Roman" w:eastAsia="Times New Roman" w:hAnsi="Times New Roman" w:cs="Times New Roman"/>
                <w:b/>
                <w:bCs/>
                <w:color w:val="000000"/>
                <w:kern w:val="0"/>
                <w:sz w:val="24"/>
                <w:szCs w:val="24"/>
                <w14:ligatures w14:val="none"/>
              </w:rPr>
              <w:br/>
              <w:t xml:space="preserve">         -  Áp dụng đối với trường hợp thay đổi giá trị cam kết bảo lãnh đã phát hành. Phí được tính trên phần giá trị tăng thêm của cam kết bảo lãnh kể từ ngày phát hành sửa đổi đến ngày hết hạn hiệu lực.</w:t>
            </w:r>
            <w:r w:rsidRPr="00E34F1A">
              <w:rPr>
                <w:rFonts w:ascii="Times New Roman" w:eastAsia="Times New Roman" w:hAnsi="Times New Roman" w:cs="Times New Roman"/>
                <w:b/>
                <w:bCs/>
                <w:color w:val="000000"/>
                <w:kern w:val="0"/>
                <w:sz w:val="24"/>
                <w:szCs w:val="24"/>
                <w14:ligatures w14:val="none"/>
              </w:rPr>
              <w:br/>
              <w:t xml:space="preserve">         -  Áp dụng đối với trường hợp thay đổi thời hạn cam kết bảo lãnh đã phát hành. Phí được tính trên giá trị của cam kết bảo lãnh kể từ ngày hết hạn hiệu lực cũ đến ngày hiệu lực mới.</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2.  Mã phí TF/A3 và TF/B3 - Sửa đổi khác:</w:t>
            </w:r>
            <w:r w:rsidRPr="00E34F1A">
              <w:rPr>
                <w:rFonts w:ascii="Times New Roman" w:eastAsia="Times New Roman" w:hAnsi="Times New Roman" w:cs="Times New Roman"/>
                <w:b/>
                <w:bCs/>
                <w:color w:val="000000"/>
                <w:kern w:val="0"/>
                <w:sz w:val="24"/>
                <w:szCs w:val="24"/>
                <w14:ligatures w14:val="none"/>
              </w:rPr>
              <w:br/>
              <w:t xml:space="preserve">         -  Áp dụng trong trường hợp sửa đổi cam kết bảo lãnh khác với sửa đổi cam kết bảo lãnh được quy định tại mã phí từ TF/A0 đến TF/A2 và từ TF/B0 đến TF/BL.</w:t>
            </w:r>
            <w:r w:rsidRPr="00E34F1A">
              <w:rPr>
                <w:rFonts w:ascii="Times New Roman" w:eastAsia="Times New Roman" w:hAnsi="Times New Roman" w:cs="Times New Roman"/>
                <w:b/>
                <w:bCs/>
                <w:color w:val="000000"/>
                <w:kern w:val="0"/>
                <w:sz w:val="24"/>
                <w:szCs w:val="24"/>
                <w14:ligatures w14:val="none"/>
              </w:rPr>
              <w:br/>
              <w:t xml:space="preserve">         -  Trường hợp khách hàng yêu cầu sửa đổi đồng thời cả về giá trị và các yếu tố khác hoặc thời hạn và các yếu tố khác thì chỉ thu theo một mức phí cao hơn cho mỗi lần sửa đổi.</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3.  Mã phí TF/A4 và TF/B5 - Hủy thư bảo lãnh:</w:t>
            </w:r>
            <w:r w:rsidRPr="00E34F1A">
              <w:rPr>
                <w:rFonts w:ascii="Times New Roman" w:eastAsia="Times New Roman" w:hAnsi="Times New Roman" w:cs="Times New Roman"/>
                <w:b/>
                <w:bCs/>
                <w:color w:val="000000"/>
                <w:kern w:val="0"/>
                <w:sz w:val="24"/>
                <w:szCs w:val="24"/>
                <w14:ligatures w14:val="none"/>
              </w:rPr>
              <w:br/>
              <w:t xml:space="preserve">         Áp dụng trong trường hợp khách hàng yêu cầu ngân hàng hủy phát hành cam kết bảo lãnh cho khách hàng.</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4.  Mã phí TF/A6 - Thẩm định hồ sơ bảo lãnh:</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lastRenderedPageBreak/>
              <w:t xml:space="preserve">         Ngân hàng tính và thu phí một lần khi thẩm định hồ sơ đề nghị bảo lãnh theo yêu cầu thỏa thuận của khách hàng. (Mã phí này áp dụng nếu được phép của NHNN).</w:t>
            </w:r>
            <w:r w:rsidRPr="00E34F1A">
              <w:rPr>
                <w:rFonts w:ascii="Times New Roman" w:eastAsia="Times New Roman" w:hAnsi="Times New Roman" w:cs="Times New Roman"/>
                <w:b/>
                <w:bCs/>
                <w:color w:val="000000"/>
                <w:kern w:val="0"/>
                <w:sz w:val="24"/>
                <w:szCs w:val="24"/>
                <w14:ligatures w14:val="none"/>
              </w:rPr>
              <w:br/>
              <w:t xml:space="preserve">         Phí thẩm định hồ sơ bảo lãnh = Số tiền đề nghị bảo lãnh x Tỷ lệ phí</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5.  Mã phí TF/A5 - Phí dịch thư bảo lãnh tiếng Việt sang tiếng Anh để tham chiếu</w:t>
            </w:r>
            <w:r w:rsidRPr="00E34F1A">
              <w:rPr>
                <w:rFonts w:ascii="Times New Roman" w:eastAsia="Times New Roman" w:hAnsi="Times New Roman" w:cs="Times New Roman"/>
                <w:b/>
                <w:bCs/>
                <w:color w:val="000000"/>
                <w:kern w:val="0"/>
                <w:sz w:val="24"/>
                <w:szCs w:val="24"/>
                <w14:ligatures w14:val="none"/>
              </w:rPr>
              <w:br/>
              <w:t xml:space="preserve">         Áp dụng trong trường hợp khách hàng có yêu cầu dịch cam kết bảo lãnh sang tiếng Anh để tham chiếu: ngoài việc thu phí phát hành bảo lãnh, chi nhánh thu thêm phí dịch thuật.</w:t>
            </w:r>
            <w:r w:rsidRPr="00E34F1A">
              <w:rPr>
                <w:rFonts w:ascii="Times New Roman" w:eastAsia="Times New Roman" w:hAnsi="Times New Roman" w:cs="Times New Roman"/>
                <w:b/>
                <w:bCs/>
                <w:color w:val="000000"/>
                <w:kern w:val="0"/>
                <w:sz w:val="24"/>
                <w:szCs w:val="24"/>
                <w14:ligatures w14:val="none"/>
              </w:rPr>
              <w:br/>
            </w:r>
          </w:p>
        </w:tc>
      </w:tr>
      <w:tr w:rsidR="00E34F1A" w:rsidRPr="00E34F1A" w:rsidTr="00E34F1A">
        <w:trPr>
          <w:trHeight w:val="408"/>
        </w:trPr>
        <w:tc>
          <w:tcPr>
            <w:tcW w:w="9980" w:type="dxa"/>
            <w:gridSpan w:val="6"/>
            <w:vMerge w:val="restart"/>
            <w:tcBorders>
              <w:top w:val="nil"/>
              <w:left w:val="nil"/>
              <w:bottom w:val="nil"/>
              <w:right w:val="nil"/>
            </w:tcBorders>
            <w:shd w:val="clear" w:color="auto" w:fill="auto"/>
            <w:noWrap/>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p>
        </w:tc>
      </w:tr>
      <w:tr w:rsidR="00E34F1A" w:rsidRPr="00E34F1A" w:rsidTr="00E34F1A">
        <w:trPr>
          <w:trHeight w:val="408"/>
        </w:trPr>
        <w:tc>
          <w:tcPr>
            <w:tcW w:w="9980" w:type="dxa"/>
            <w:gridSpan w:val="6"/>
            <w:vMerge/>
            <w:tcBorders>
              <w:top w:val="nil"/>
              <w:left w:val="nil"/>
              <w:bottom w:val="nil"/>
              <w:right w:val="nil"/>
            </w:tcBorders>
            <w:vAlign w:val="center"/>
            <w:hideMark/>
          </w:tcPr>
          <w:p w:rsidR="00E34F1A" w:rsidRPr="00E34F1A" w:rsidRDefault="00E34F1A" w:rsidP="00E34F1A">
            <w:pPr>
              <w:spacing w:after="0" w:line="240" w:lineRule="auto"/>
              <w:rPr>
                <w:rFonts w:ascii="Times New Roman" w:eastAsia="Times New Roman" w:hAnsi="Times New Roman" w:cs="Times New Roman"/>
                <w:b/>
                <w:bCs/>
                <w:color w:val="000000"/>
                <w:kern w:val="0"/>
                <w:sz w:val="24"/>
                <w:szCs w:val="24"/>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30/09/2024)</w:t>
            </w:r>
            <w:r w:rsidRPr="00E34F1A">
              <w:rPr>
                <w:rFonts w:ascii="&quot;Times New Roman&quot;" w:eastAsia="Times New Roman" w:hAnsi="&quot;Times New Roman&quot;" w:cs="Arial"/>
                <w:b/>
                <w:bCs/>
                <w:color w:val="000000"/>
                <w:kern w:val="0"/>
                <w:sz w:val="28"/>
                <w:szCs w:val="28"/>
                <w14:ligatures w14:val="none"/>
              </w:rPr>
              <w:br/>
              <w:t xml:space="preserve"> CHUYỂN TIỀN NƯỚC NGOÀI</w:t>
            </w:r>
          </w:p>
        </w:tc>
      </w:tr>
      <w:tr w:rsidR="00E34F1A" w:rsidRPr="00E34F1A" w:rsidTr="00E34F1A">
        <w:trPr>
          <w:trHeight w:val="312"/>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Chuyển tiền đi</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Đối với chuyển tiền đi nước ngoài</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chuyển tiền đi 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tiền chuyển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 USD</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NH nước ngoài đối với lệnh thanh toán gửi đi các NH không có thoả thuận phí OUR với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thực tế</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NH nước ngoài đối với lệnh thanh toán gửi đi các ngân hàng có thỏa thuận phí OUR với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thoả thuận của Agribank với NH đại lý</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Chuyển tiền đi Agribank Chi nhánh Campuchia</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chuyển tiền đi Chi nhánh Campuchia</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giá trị tiền chuyển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Chuyển tiền đến</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i/>
                <w:iCs/>
                <w:color w:val="000000"/>
                <w:kern w:val="0"/>
                <w:sz w:val="24"/>
                <w:szCs w:val="24"/>
                <w14:ligatures w14:val="none"/>
              </w:rPr>
            </w:pPr>
            <w:r w:rsidRPr="00E34F1A">
              <w:rPr>
                <w:rFonts w:ascii="&quot;Times New Roman&quot;" w:eastAsia="Times New Roman" w:hAnsi="&quot;Times New Roman&quot;" w:cs="Arial"/>
                <w:b/>
                <w:bCs/>
                <w:i/>
                <w:i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i/>
                <w:iCs/>
                <w:color w:val="000000"/>
                <w:kern w:val="0"/>
                <w:sz w:val="24"/>
                <w:szCs w:val="24"/>
                <w14:ligatures w14:val="none"/>
              </w:rPr>
            </w:pPr>
            <w:r w:rsidRPr="00E34F1A">
              <w:rPr>
                <w:rFonts w:ascii="&quot;Times New Roman&quot;" w:eastAsia="Times New Roman" w:hAnsi="&quot;Times New Roman&quot;" w:cs="Arial"/>
                <w:b/>
                <w:bCs/>
                <w:i/>
                <w:i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Phí do người hưởng chịu (BEN, SHA)</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Người thụ hưởng tại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i/>
                <w:iCs/>
                <w:color w:val="000000"/>
                <w:kern w:val="0"/>
                <w:sz w:val="24"/>
                <w:szCs w:val="24"/>
                <w14:ligatures w14:val="none"/>
              </w:rPr>
            </w:pPr>
            <w:r w:rsidRPr="00E34F1A">
              <w:rPr>
                <w:rFonts w:ascii="&quot;Times New Roman&quot;" w:eastAsia="Times New Roman" w:hAnsi="&quot;Times New Roman&quot;" w:cs="Arial"/>
                <w:b/>
                <w:bCs/>
                <w:i/>
                <w:i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i/>
                <w:iCs/>
                <w:color w:val="000000"/>
                <w:kern w:val="0"/>
                <w:sz w:val="24"/>
                <w:szCs w:val="24"/>
                <w14:ligatures w14:val="none"/>
              </w:rPr>
            </w:pPr>
            <w:r w:rsidRPr="00E34F1A">
              <w:rPr>
                <w:rFonts w:ascii="&quot;Times New Roman&quot;" w:eastAsia="Times New Roman" w:hAnsi="&quot;Times New Roman&quot;" w:cs="Arial"/>
                <w:b/>
                <w:bCs/>
                <w:i/>
                <w:i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Phí do bên chuyển tiền chịu (OUR) - Phí thu NH chuyển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Đối với lệnh thanh toán nhận được từ các NH không có thoả thuận phí OUR với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biểu phí với TCTD</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Đối với lệnh thanh toán nhận được từ các NH có thoả thuận phí OUR với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thoả thuận của Agribank với NH đại lý</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Tra soát, điều chỉnh, thông báo</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Điều chỉnh/Huỷ lệnh chuyển tiền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 lần + phí NH nước ngoài (nếu có)</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điện chuyển tiền hoặc thông báo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 lần + phí NH nước ngoài (nếu có)</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 Điện phí</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FFF2CC" w:fill="FFF2CC"/>
            <w:vAlign w:val="center"/>
            <w:hideMark/>
          </w:tcPr>
          <w:p w:rsidR="00E34F1A" w:rsidRPr="00E34F1A" w:rsidRDefault="00E34F1A" w:rsidP="00E34F1A">
            <w:pPr>
              <w:spacing w:after="0" w:line="240" w:lineRule="auto"/>
              <w:rPr>
                <w:rFonts w:ascii="Times New Roman" w:eastAsia="Times New Roman" w:hAnsi="Times New Roman" w:cs="Times New Roman"/>
                <w:b/>
                <w:bCs/>
                <w:color w:val="000000"/>
                <w:kern w:val="0"/>
                <w:sz w:val="24"/>
                <w:szCs w:val="24"/>
                <w14:ligatures w14:val="none"/>
              </w:rPr>
            </w:pPr>
            <w:r w:rsidRPr="00E34F1A">
              <w:rPr>
                <w:rFonts w:ascii="Times New Roman" w:eastAsia="Times New Roman" w:hAnsi="Times New Roman" w:cs="Times New Roman"/>
                <w:b/>
                <w:bCs/>
                <w:color w:val="000000"/>
                <w:kern w:val="0"/>
                <w:sz w:val="24"/>
                <w:szCs w:val="24"/>
                <w14:ligatures w14:val="none"/>
              </w:rPr>
              <w:t>Ghi chú:</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1.  Mã phí FX/H0 Chuyển tiền đi nước ngoài:</w:t>
            </w:r>
            <w:r w:rsidRPr="00E34F1A">
              <w:rPr>
                <w:rFonts w:ascii="Times New Roman" w:eastAsia="Times New Roman" w:hAnsi="Times New Roman" w:cs="Times New Roman"/>
                <w:b/>
                <w:bCs/>
                <w:color w:val="000000"/>
                <w:kern w:val="0"/>
                <w:sz w:val="24"/>
                <w:szCs w:val="24"/>
                <w14:ligatures w14:val="none"/>
              </w:rPr>
              <w:br/>
              <w:t xml:space="preserve">         -  Áp dụng cho khách hàng chuyển tiền đi nước ngoài theo quy định Quản lý Ngoại hối hiện hành của Ngân hàng Nhà nước.</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2.  Mã phí FX/H2, FX/H3 - Phí ngân hàng nước ngoài:</w:t>
            </w:r>
            <w:r w:rsidRPr="00E34F1A">
              <w:rPr>
                <w:rFonts w:ascii="Times New Roman" w:eastAsia="Times New Roman" w:hAnsi="Times New Roman" w:cs="Times New Roman"/>
                <w:b/>
                <w:bCs/>
                <w:color w:val="000000"/>
                <w:kern w:val="0"/>
                <w:sz w:val="24"/>
                <w:szCs w:val="24"/>
                <w14:ligatures w14:val="none"/>
              </w:rPr>
              <w:br/>
              <w:t xml:space="preserve">         -  Áp dụng trong trường hợp khách hàng chuyển tiền ra nước ngoài, phí ngân hàng trong nước và phí Ngân hàng nước ngoài do người chuyển tiền chịu.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3.  Mã phí FX/I2, FX/I3 - Phí nhận chuyển tiền nước ngoài đến (OUR):</w:t>
            </w:r>
            <w:r w:rsidRPr="00E34F1A">
              <w:rPr>
                <w:rFonts w:ascii="Times New Roman" w:eastAsia="Times New Roman" w:hAnsi="Times New Roman" w:cs="Times New Roman"/>
                <w:b/>
                <w:bCs/>
                <w:color w:val="000000"/>
                <w:kern w:val="0"/>
                <w:sz w:val="24"/>
                <w:szCs w:val="24"/>
                <w14:ligatures w14:val="none"/>
              </w:rPr>
              <w:br/>
              <w:t xml:space="preserve">         -  Áp dụng trong trường hợp nhận tiền nước ngoài chuyển đến (Phí báo Có), phí thu từ ngân hàng nước ngoài. Chi nhánh không thu phí chuyển tiền từ người hưởng.</w:t>
            </w:r>
            <w:r w:rsidRPr="00E34F1A">
              <w:rPr>
                <w:rFonts w:ascii="Times New Roman" w:eastAsia="Times New Roman" w:hAnsi="Times New Roman" w:cs="Times New Roman"/>
                <w:b/>
                <w:bCs/>
                <w:color w:val="000000"/>
                <w:kern w:val="0"/>
                <w:sz w:val="24"/>
                <w:szCs w:val="24"/>
                <w14:ligatures w14:val="none"/>
              </w:rPr>
              <w:br/>
              <w:t xml:space="preserve">         -  Phí thu từ ngân hàng nước ngoài: Nếu số tiền trên điện chuyển tiền đến đã bao gồm cả tiền phí Agribank được hưởng, Chi nhánh thực hiện thu phí trước khi trả tiền cho khách hàng; Nếu số tiền trên điện chuyển tiền đến không bao gồm tiền phí, Agribank phải lập điện đòi tiền phí từ Ngân hàng gửi điện. </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b/>
                <w:bCs/>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Quyếy định số 2084/QĐ-NHNo.BTPHCM-KTNQ ngày 30/09/2024)</w:t>
            </w:r>
            <w:r w:rsidRPr="00E34F1A">
              <w:rPr>
                <w:rFonts w:ascii="&quot;Times New Roman&quot;" w:eastAsia="Times New Roman" w:hAnsi="&quot;Times New Roman&quot;" w:cs="Arial"/>
                <w:b/>
                <w:bCs/>
                <w:color w:val="000000"/>
                <w:kern w:val="0"/>
                <w:sz w:val="28"/>
                <w:szCs w:val="28"/>
                <w14:ligatures w14:val="none"/>
              </w:rPr>
              <w:br/>
              <w:t xml:space="preserve"> NGHIỆP VỤ THƯ TÍN DỤNG</w:t>
            </w:r>
          </w:p>
        </w:tc>
      </w:tr>
      <w:tr w:rsidR="00E34F1A" w:rsidRPr="00E34F1A" w:rsidTr="00E34F1A">
        <w:trPr>
          <w:trHeight w:val="264"/>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L/C nhập khẩu</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Phát hành thư tín dụng (Tính phí trên giá trị L/C)</w:t>
            </w:r>
          </w:p>
        </w:tc>
      </w:tr>
      <w:tr w:rsidR="00E34F1A" w:rsidRPr="00E34F1A" w:rsidTr="00E34F1A">
        <w:trPr>
          <w:trHeight w:val="3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Phần trị giá L/C ký quỹ bằng tiền (VNĐ/ngoại tệ) trên Tài khoản ký quỹ tại Agribank hoặc L/C đối ứng (trong trường hợp L/C quy định chỉ phải trả tiền L/C nhập khẩu sau khi nhận được tiền thanh toán của L/C xuất khẩu)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 USD</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Phần trị giá L/C chưa được ký quỹ hoặc được đảm bảo bằng hình thức khác (ngoài các hình thức nêu trên)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0,7%/năm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phát hành thư tín dụng sơ bộ</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Sửa đổi thư tín dụng</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tăng số tiền/Sửa đổi gia hạn ngày hiệu lực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Áp dụng như mức phí phát hành L/C mục 1.1</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Hủy thư tín dụng</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tín dụng theo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 + phí trả NH nước ngoài (nếu có)</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1.4. Thanh toán thư tín dụng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Thanh toán một bộ chứng từ (Tính phí theo giá trị bộ chứng từ thanh toán)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 USD</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1.5. Chấp nhận thanh toán thư tín dụng trả chậm</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Bộ chứng từ đã ký quỹ 100%: thu phí theo dõi và quản lý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 USD/bộ chứng từ</w:t>
            </w:r>
          </w:p>
        </w:tc>
      </w:tr>
      <w:tr w:rsidR="00E34F1A" w:rsidRPr="00E34F1A" w:rsidTr="00E34F1A">
        <w:trPr>
          <w:trHeight w:val="3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Phần trị giá bộ chứng từ chưa ký quỹ hoặc đảm bảo bằng các hình thức khác (Thu phí từ ngày Agribank thông báo bộ chứng từ phù hợp cho khách hàng đến ngày đáo hạn hoặc ngày khách hàng chấp nhận thanh toán đối với bộ chứng từ không phù hợp đến ngày đáo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 USD</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1.6. Bảo lãnh nhận hàng/Ủy quyền nhận hàng theo thư tín dụng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Phát hành bảo lãnh nhận hàng/Ủy quyền nhận hàng theo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bảo lãnh nhận hàng/Ủy quyền nhận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chậm hoàn lại bảo lãnh nhận hàng để hủy</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USD/tháng, bắt đầu áp dụng sau 30 ngày chưa hoàn lại kể từ ngày phát hành Bảo lãnh nhận hàng</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1.7. Ký hậu vận đơn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đổi lấy thư bảo lãnh nhận hàng đã phát hành trước đó</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USD/vận đơn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bộ chứng từ gửi về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USD/vận đơn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trước khi chứng từ gửi về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USD/vận đơn</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1.8. Rút vốn vay nước ngoài</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1.9. Dịch vụ khác liên quan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thực hiện hoàn trả theo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 USD/lần hoàn trả</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hoạt động tư vấn (mở thư tín dụng, bảo lãnh, khảo giá hàng hóa nhập khẩu.…)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tra soát, thông báo khác (thu từ bên phát sinh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xử lý chứng từ theo L/C nhập khẩu xuất trình/bổ sung/thay thế (Handling charge)</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sai sót bộ chứng từ nhập khẩu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 USD/bộ</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thông báo thanh toán/thông báo chấp nhận thanh toán L/C (thu từ ngân hàng nước ngoài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N0/K0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điện SWIFT- Phát hành Thư tín dụng (trong nước/nước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USD/điện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N1/KW</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điện SWIFT- Điện khác (trong nước/nước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USD/điện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L/C xuất khẩu</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Thông báo, huỷ thư tín dụng</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thư tín dụng qua một ngân hàng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Áp dụng theo biểu phí đối với khách hàng TCTD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thư tín dụng trực tiếp đến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 + Phí NH thông báo thứ nhất thu (nếu có)</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sửa đổi qua một ngân hàng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Áp dụng theo biểu phí đối với khách hàng TCTD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sửa đổi thư tín dụng trực tiếp đến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USD/lần + Phí NH thông báo thứ nhất thu (nếu có)</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tín dụng theo yêu cầu của KH hoặc NH nước ngoài.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30USD + phí trả NH nước ngoài (nếu có)</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thực chữ ký trước khi thông báo L/C hoặc L/C sửa đổi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USD/lần</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Bộ chứng từ</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kiểm tra chứng từ nếu xuất trình tại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USD/bộ</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xử lý bộ chứng từ (KH đề nghị không kiểm tra bộ chứng từ theo L/C)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5USD/bộ</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kiểm tra chứng từ nếu xuất trình tại ngân hàng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Thay thế/Bổ sung chứng từ sau lần gửi đầu tiên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USD/lần + Phí bưu điện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thanh toán bộ chứng từ theo L/C xuất khẩu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0,15%/giá trị bộ chứng từ gửi đi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đổi/Điều chỉnh thư đòi tiền theo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USD/lần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Lập hộ bộ chứng từ theo thư tín dụng cho KH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 USD/chứng từ</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thực chữ ký trên thông báo L/C và hoặc L/C sửa đổi của NHTB khác khi KH xuất trình bộ chứng từ đòi tiền tại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USD/lần</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Xử lý bộ chứng từ thương lượng thanh toán theo L/C xuất khẩu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USD/bộ</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Thương lượng thanh toán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 trên cơ sở khung lãi vay ngoại tệ</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2.3. Chuyển nhượng thư tín dụng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G0</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nhượng thư tín dụng xuất khẩu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giá trị L/C chuyển nhượng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 USD</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tăng số tiền (Tính phí trên số tiền tăng thêm của giá trị thư tín dụng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USD/lần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tín dụng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sai sót bộ chứng từ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 USD</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thanh toán bộ chứng từ theo L/C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0,2%/giá trị bộ chứng từ gửi đi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2.4. Xác nhận thư tín dụng và dịch vụ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nhận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tra soát, thông báo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USD/lần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nhận sửa đổi tăng giá trị và hoặc gia hạn thời hạn hiệu lực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nhận sửa đổi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 USD</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2.5. Mua hẳn miễn truy đòi bộ chứng từ theo L/C do ngân hàng khác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quy định của Tổng Giám đốc từng thời kỳ</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BL</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xử lý bộ chứng từ mua hẳn miễn truy đòi theo L/C do ngân hàng khác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USD/bộ</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V. THƯ TÍN DỤNG NỘI ĐỊA/NỘI BỘ</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Thư tín dụng dành cho bên mua</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Phát hành thư tín dụng (Tính phí trên giá trị L/C)</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Phần trị giá L/C ký quỹ bằng tiền trên Tài khoản ký quỹ tại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Phần trị giá L/C chưa được ký quỹ</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0,7%/năm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phát hành thư tín dụng sơ bộ</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Sửa đổi thư tín dụng</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tăng số tiền/ Sửa đổi gia hạn ngày hiệu lực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Áp dụng như mức phí phát hành L/C mục 1.1</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400.000 VNĐ/lần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14:ligatures w14:val="none"/>
              </w:rPr>
            </w:pPr>
            <w:r w:rsidRPr="00E34F1A">
              <w:rPr>
                <w:rFonts w:ascii="&quot;Times New Roman&quot;" w:eastAsia="Times New Roman" w:hAnsi="&quot;Times New Roman&quot;" w:cs="Arial"/>
                <w:color w:val="000000"/>
                <w:kern w:val="0"/>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Hủy thư tín dụng</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tín dụng theo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 + phí trả NH khác (nếu có)</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1.4. Thanh toán thư tín dụng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Thanh toán một bộ chứng từ (Tính phí theo giá trị bộ chứng từ thanh toán)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8.000.000 VNĐ</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1.5. Chấp nhận thanh toán thư tín dụng trả chậm</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Bộ chứng từ đã ký quỹ 100%: thu phí theo dõi và quản lý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VNĐ/bộ chứng từ</w:t>
            </w:r>
          </w:p>
        </w:tc>
      </w:tr>
      <w:tr w:rsidR="00E34F1A" w:rsidRPr="00E34F1A" w:rsidTr="00E34F1A">
        <w:trPr>
          <w:trHeight w:val="3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Phần trị giá bộ chứng từ chưa ký quỹ hoặc đảm bảo bằng các hình thức khác (Thu phí từ ngày Agribank thông báo bộ chứng từ phù hợp cho khách hàng đến ngày đáo hạn hoặc ngày khách hàng chấp nhận thanh toán đối với bộ chứng từ không phù hợp đến ngày đáo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1,2%/năm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1.6. Bảo lãnh nhận hàng/Ủy quyền nhận hàng theo thư tín dụng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Phát hành bảo lãnh nhận hàng/Ủy quyền nhận hàng theo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800.000 VNĐ/bảo lãnh/ủy quyền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bảo lãnh nhận hàng/Ủy quyền nhận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chậm hoàn lại bảo lãnh nhận hàng để hủy</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VNĐ/tháng, bắt đầu áp dụng sau 30 ngày chưa hoàn lại kể từ ngày phát hành Bảo lãnh nhận hàng</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1.7. Ký hậu vận đơn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đổi lấy bảo lãnh nhận hàng đã phát hành trước đó</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VNĐ/vận đơn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bộ chứng từ gửi về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VNĐ/vận đơn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trước khi chứng từ về ngân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VNĐ/vận đơn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1.8. Dịch vụ khác liên quan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thực hiện hoàn trả theo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hoạt động tư vấn (mở thư tín dụng, bảo lãnh, khảo giá hàng hóa nhập khẩu.…)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KI</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tra soát, thông báo khác (thu từ bên phát sinh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VNĐ/lần</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KL</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xml:space="preserve">Phí xử lý chứng từ xuất trình/bổ sung/thay thế </w:t>
            </w:r>
            <w:r w:rsidRPr="00E34F1A">
              <w:rPr>
                <w:rFonts w:ascii="&quot;Times New Roman&quot;" w:eastAsia="Times New Roman" w:hAnsi="&quot;Times New Roman&quot;" w:cs="Arial"/>
                <w:color w:val="000000"/>
                <w:kern w:val="0"/>
                <w:sz w:val="24"/>
                <w:szCs w:val="24"/>
                <w14:ligatures w14:val="none"/>
              </w:rPr>
              <w:br/>
              <w:t xml:space="preserve"> Lưu ý: đối với L/C nội bộ: miễn phí</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VNĐ/chứng từ</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KM</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sai sót bộ chứng từ nhập khẩu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KN</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KO</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thông báo thanh toán/thông báo chấp nhận thanh toán L/C (thu từ ngân hàng hưởng theo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KP</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điện SWIFT- Phát hành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KQ</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điện SWIFT- Điện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Thư tín dụng dành cho bên bán</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Thông báo, huỷ thư tín dụng</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KS</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thư tín dụng qua một ngân hàng/chi nhánh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quy định Biểu phí TCTD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KR</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thư tín dụng trực tiếp đến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 + Phí NH thông báo thứ nhất thu (nếu có)</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KT</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sửa đổi qua một ngân hàng/chi nhánh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như phí thông báo thư tín dụng qua một ngân hàng/chi nhánh khác</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KU</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Thông báo sửa đổi thư tín dụng trực tiếp đến khách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 + Phí NH thông báo thứ nhất thu (nếu có)</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KV</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tín dụng theo yêu cầu của KH hoặc Ngân hàng/chi nhánh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400.000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Bộ chứng từ</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KX</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kiểm tra chứng từ nếu xuất trình tại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VNĐ/bộ</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KY</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kiểm tra chứng từ nếu xuất trình tại ngân hàng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800.000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KZ</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Thay thế/Bổ sung chứng từ sau lần gửi đầu tiên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VNĐ/lần + Phí bưu điện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thanh toán bộ chứng từ theo L/C bán hàng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0,1%/giá trị bộ chứng từ gửi đi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đổi/Điều chỉnh thư đòi tiền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Lập hộ bộ chứng từ theo thư tín dụng cho KH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Xử lý bộ chứng từ thương lượng thanh toán theo L/C nội địa</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Thương lượng thanh toán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Thoả thuận trên cơ sở khung lãi vay</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2.3. Chuyển nhượng thư tín dụng</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nhượng thư tín dụng bán hàng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giá trị L/C chuyển nhượng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tăng số tiền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giá trị tăng thêm của L/C</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TI</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thư tín dụng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TL</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sai sót bộ chứng từ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TM</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thanh toán bộ chứng từ theo L/C chuyển nhượng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0,1%/giá trị bộ chứng từ gửi đi</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2.4. Dịch vụ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TN</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thực chữ ký trên thông báo L/C và hoặc L/C sửa đổi của NHTB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150.000 VNĐ/lần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TO</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nhận thư tín dụng của NH đại lý phát hành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TP</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liên quan đến thư tín dụng bán hàng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TQ</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nhận sửa đổi tăng giá trị và hoặc gia hạn thời hạn hiệu lực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TS</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Xác nhận sửa đổi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khác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Thỏa thuận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TU</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tra soát, thông báo khác (thu từ bên phát sinh yêu cầu)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VNĐ/lần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KP</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điện SWIFT- Phát hành Thư tín dụng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KQ</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điện SWIFT- Điện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 VNĐ</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nil"/>
              <w:right w:val="nil"/>
            </w:tcBorders>
            <w:shd w:val="clear" w:color="auto" w:fill="auto"/>
            <w:noWrap/>
            <w:vAlign w:val="bottom"/>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BM</w:t>
            </w:r>
          </w:p>
        </w:tc>
        <w:tc>
          <w:tcPr>
            <w:tcW w:w="2596"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2.5. Mua hẳn miễn truy đòi bộ chứng từ theo L/C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quy định của Tổng Giám đốc từng thời kỳ</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BN</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xử lý bộ chứng từ mua hẳn miễn truy đòi theo L/C do ngân hàng khác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VNĐ/bộ</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BO</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xử lý bộ chứng từ mua hẳn miễn truy đòi theo L/C do Agribank phát hành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VNĐ/bộ</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nil"/>
            </w:tcBorders>
            <w:shd w:val="clear" w:color="FFF2CC" w:fill="FFF2CC"/>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r w:rsidRPr="00E34F1A">
              <w:rPr>
                <w:rFonts w:ascii="Times New Roman" w:eastAsia="Times New Roman" w:hAnsi="Times New Roman" w:cs="Times New Roman"/>
                <w:b/>
                <w:bCs/>
                <w:color w:val="000000"/>
                <w:kern w:val="0"/>
                <w:sz w:val="24"/>
                <w:szCs w:val="24"/>
                <w14:ligatures w14:val="none"/>
              </w:rPr>
              <w:t>Ghi chú:</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1.Mã phí từ TF/D0, TF/D1, TF/K1, TF/K2 - Phát hành thư tín dụng (L/C):</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lastRenderedPageBreak/>
              <w:t xml:space="preserve">        -  Áp dụng trong trường hợp khách hàng đề nghị Chi nhánh phát hành thư tín dụng, phí này được tính theo tỉ lệ phần trăm trên giá trị L/C.</w:t>
            </w:r>
            <w:r w:rsidRPr="00E34F1A">
              <w:rPr>
                <w:rFonts w:ascii="Times New Roman" w:eastAsia="Times New Roman" w:hAnsi="Times New Roman" w:cs="Times New Roman"/>
                <w:b/>
                <w:bCs/>
                <w:color w:val="000000"/>
                <w:kern w:val="0"/>
                <w:sz w:val="24"/>
                <w:szCs w:val="24"/>
                <w14:ligatures w14:val="none"/>
              </w:rPr>
              <w:br/>
              <w:t xml:space="preserve">       Công thức tính phí phát hành L/C:</w:t>
            </w:r>
            <w:r w:rsidRPr="00E34F1A">
              <w:rPr>
                <w:rFonts w:ascii="Times New Roman" w:eastAsia="Times New Roman" w:hAnsi="Times New Roman" w:cs="Times New Roman"/>
                <w:b/>
                <w:bCs/>
                <w:color w:val="000000"/>
                <w:kern w:val="0"/>
                <w:sz w:val="24"/>
                <w:szCs w:val="24"/>
                <w14:ligatures w14:val="none"/>
              </w:rPr>
              <w:br/>
              <w:t xml:space="preserve">                                                                                        Số ngày của L/C</w:t>
            </w:r>
            <w:r w:rsidRPr="00E34F1A">
              <w:rPr>
                <w:rFonts w:ascii="Times New Roman" w:eastAsia="Times New Roman" w:hAnsi="Times New Roman" w:cs="Times New Roman"/>
                <w:b/>
                <w:bCs/>
                <w:color w:val="000000"/>
                <w:kern w:val="0"/>
                <w:sz w:val="24"/>
                <w:szCs w:val="24"/>
                <w14:ligatures w14:val="none"/>
              </w:rPr>
              <w:br/>
              <w:t xml:space="preserve">            Phí phát hành L/C     =     Giá trị L/C     x     ----------------------     x     Tỷ lệ phí</w:t>
            </w:r>
            <w:r w:rsidRPr="00E34F1A">
              <w:rPr>
                <w:rFonts w:ascii="Times New Roman" w:eastAsia="Times New Roman" w:hAnsi="Times New Roman" w:cs="Times New Roman"/>
                <w:b/>
                <w:bCs/>
                <w:color w:val="000000"/>
                <w:kern w:val="0"/>
                <w:sz w:val="24"/>
                <w:szCs w:val="24"/>
                <w14:ligatures w14:val="none"/>
              </w:rPr>
              <w:br/>
              <w:t xml:space="preserve">                                                                                                  365                </w:t>
            </w:r>
            <w:r w:rsidRPr="00E34F1A">
              <w:rPr>
                <w:rFonts w:ascii="Times New Roman" w:eastAsia="Times New Roman" w:hAnsi="Times New Roman" w:cs="Times New Roman"/>
                <w:b/>
                <w:bCs/>
                <w:color w:val="000000"/>
                <w:kern w:val="0"/>
                <w:sz w:val="24"/>
                <w:szCs w:val="24"/>
                <w14:ligatures w14:val="none"/>
              </w:rPr>
              <w:br/>
              <w:t xml:space="preserve">        Số ngày của L/C được tính từ ngày L/C bắt đầu có hiệu lực đến ngày L/C hết hiệu lực.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2.Mã phí từ TF/D3, TF/K4 - Sửa đổi tăng số tiền/Sửa đổi gia hạn ngày hiệu lực:</w:t>
            </w:r>
            <w:r w:rsidRPr="00E34F1A">
              <w:rPr>
                <w:rFonts w:ascii="Times New Roman" w:eastAsia="Times New Roman" w:hAnsi="Times New Roman" w:cs="Times New Roman"/>
                <w:b/>
                <w:bCs/>
                <w:color w:val="000000"/>
                <w:kern w:val="0"/>
                <w:sz w:val="24"/>
                <w:szCs w:val="24"/>
                <w14:ligatures w14:val="none"/>
              </w:rPr>
              <w:br/>
              <w:t xml:space="preserve">            Áp dụng đối với trường hợp thay đổi giá trị/thời hạn L/C đã phát hành. </w:t>
            </w:r>
            <w:r w:rsidRPr="00E34F1A">
              <w:rPr>
                <w:rFonts w:ascii="Times New Roman" w:eastAsia="Times New Roman" w:hAnsi="Times New Roman" w:cs="Times New Roman"/>
                <w:b/>
                <w:bCs/>
                <w:color w:val="000000"/>
                <w:kern w:val="0"/>
                <w:sz w:val="24"/>
                <w:szCs w:val="24"/>
                <w14:ligatures w14:val="none"/>
              </w:rPr>
              <w:br/>
              <w:t xml:space="preserve">            -        Trường hợp, sửa đổi tăng tiền: Phí được tính trên phần giá trị tăng thêm của L/C kể từ ngày phát hành sửa đổi đến ngày hết hạn hiệu lực.</w:t>
            </w:r>
            <w:r w:rsidRPr="00E34F1A">
              <w:rPr>
                <w:rFonts w:ascii="Times New Roman" w:eastAsia="Times New Roman" w:hAnsi="Times New Roman" w:cs="Times New Roman"/>
                <w:b/>
                <w:bCs/>
                <w:color w:val="000000"/>
                <w:kern w:val="0"/>
                <w:sz w:val="24"/>
                <w:szCs w:val="24"/>
                <w14:ligatures w14:val="none"/>
              </w:rPr>
              <w:br/>
              <w:t xml:space="preserve">            -        Trường hợp sửa đổi gia hạn ngày hiệu lực: Phí được tính trên giá trị của L/C kể từ ngày hết hạn hiệu lực cũ đến ngày hết hạn hiệu lực mới.</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3.Mã phí TF/D4, TF/K5 - Sửa đổi khác:</w:t>
            </w:r>
            <w:r w:rsidRPr="00E34F1A">
              <w:rPr>
                <w:rFonts w:ascii="Times New Roman" w:eastAsia="Times New Roman" w:hAnsi="Times New Roman" w:cs="Times New Roman"/>
                <w:b/>
                <w:bCs/>
                <w:color w:val="000000"/>
                <w:kern w:val="0"/>
                <w:sz w:val="24"/>
                <w:szCs w:val="24"/>
                <w14:ligatures w14:val="none"/>
              </w:rPr>
              <w:br/>
              <w:t xml:space="preserve">        Áp dụng trong trường hợp sửa đổi các yếu tố không liên quan đến giá trị và thời gian hiệu lực của L/C. </w:t>
            </w:r>
            <w:r w:rsidRPr="00E34F1A">
              <w:rPr>
                <w:rFonts w:ascii="Times New Roman" w:eastAsia="Times New Roman" w:hAnsi="Times New Roman" w:cs="Times New Roman"/>
                <w:b/>
                <w:bCs/>
                <w:color w:val="000000"/>
                <w:kern w:val="0"/>
                <w:sz w:val="24"/>
                <w:szCs w:val="24"/>
                <w14:ligatures w14:val="none"/>
              </w:rPr>
              <w:br/>
              <w:t xml:space="preserve">        Lưu ý: Trường hợp khách hàng sửa đổi cả về trị giá tăng thêm và gia hạn thời hạn thì phí được tính trên giá trị L/C mới kể từ ngày hết hạn hiệu lực cũ đến ngày hiệu lực mới và phần giá trị tăng thêm của L/C kể từ ngày sửa đổi đến ngày hết hạn hiệu lực cũ.           Trường hợp khách hàng yêu cầu sửa đổi đồng thời cả về giá trị và các yếu tố khác hoặc thời hạn và các yếu tố khác thì chỉ thu theo một mức phí cao hơn cho mỗi lần sửa đổi.</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4.Mã phí TF/D8, TF/K6 - Hủy thư tín dụng:</w:t>
            </w:r>
            <w:r w:rsidRPr="00E34F1A">
              <w:rPr>
                <w:rFonts w:ascii="Times New Roman" w:eastAsia="Times New Roman" w:hAnsi="Times New Roman" w:cs="Times New Roman"/>
                <w:b/>
                <w:bCs/>
                <w:color w:val="000000"/>
                <w:kern w:val="0"/>
                <w:sz w:val="24"/>
                <w:szCs w:val="24"/>
                <w14:ligatures w14:val="none"/>
              </w:rPr>
              <w:br/>
              <w:t xml:space="preserve">        Áp dụng khi khách hàng hoặc người thụ hưởng yêu cầu hủy trước hạn L/C mà Chi nhánh đã phát hành cho khách hàng. Trường hợp L/C đủ điều kiện đóng hồ sơ theo quy định thì không thu phí này.</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5.Mã phí từ TF/D0, TF/D1, TF/K1, TF/K2 - Phát hành thư tín dụng (L/C):</w:t>
            </w:r>
            <w:r w:rsidRPr="00E34F1A">
              <w:rPr>
                <w:rFonts w:ascii="Times New Roman" w:eastAsia="Times New Roman" w:hAnsi="Times New Roman" w:cs="Times New Roman"/>
                <w:b/>
                <w:bCs/>
                <w:color w:val="000000"/>
                <w:kern w:val="0"/>
                <w:sz w:val="24"/>
                <w:szCs w:val="24"/>
                <w14:ligatures w14:val="none"/>
              </w:rPr>
              <w:br/>
              <w:t xml:space="preserve">        -  Áp dụng trong trường hợp khách hàng đề nghị Chi nhánh phát hành thư tín dụng, phí này được tính theo tỉ lệ phần trăm trên giá trị L/C.</w:t>
            </w:r>
            <w:r w:rsidRPr="00E34F1A">
              <w:rPr>
                <w:rFonts w:ascii="Times New Roman" w:eastAsia="Times New Roman" w:hAnsi="Times New Roman" w:cs="Times New Roman"/>
                <w:b/>
                <w:bCs/>
                <w:color w:val="000000"/>
                <w:kern w:val="0"/>
                <w:sz w:val="24"/>
                <w:szCs w:val="24"/>
                <w14:ligatures w14:val="none"/>
              </w:rPr>
              <w:br/>
              <w:t xml:space="preserve">        Công thức tính phí phát hành L/C:</w:t>
            </w:r>
            <w:r w:rsidRPr="00E34F1A">
              <w:rPr>
                <w:rFonts w:ascii="Times New Roman" w:eastAsia="Times New Roman" w:hAnsi="Times New Roman" w:cs="Times New Roman"/>
                <w:b/>
                <w:bCs/>
                <w:color w:val="000000"/>
                <w:kern w:val="0"/>
                <w:sz w:val="24"/>
                <w:szCs w:val="24"/>
                <w14:ligatures w14:val="none"/>
              </w:rPr>
              <w:br/>
              <w:t xml:space="preserve">                                                                                        Số ngày của L/C</w:t>
            </w:r>
            <w:r w:rsidRPr="00E34F1A">
              <w:rPr>
                <w:rFonts w:ascii="Times New Roman" w:eastAsia="Times New Roman" w:hAnsi="Times New Roman" w:cs="Times New Roman"/>
                <w:b/>
                <w:bCs/>
                <w:color w:val="000000"/>
                <w:kern w:val="0"/>
                <w:sz w:val="24"/>
                <w:szCs w:val="24"/>
                <w14:ligatures w14:val="none"/>
              </w:rPr>
              <w:br/>
              <w:t xml:space="preserve">            Phí phát hành L/C     =     Giá trị L/C     x     ----------------------     x     Tỷ lệ phí</w:t>
            </w:r>
            <w:r w:rsidRPr="00E34F1A">
              <w:rPr>
                <w:rFonts w:ascii="Times New Roman" w:eastAsia="Times New Roman" w:hAnsi="Times New Roman" w:cs="Times New Roman"/>
                <w:b/>
                <w:bCs/>
                <w:color w:val="000000"/>
                <w:kern w:val="0"/>
                <w:sz w:val="24"/>
                <w:szCs w:val="24"/>
                <w14:ligatures w14:val="none"/>
              </w:rPr>
              <w:br/>
              <w:t xml:space="preserve">                                                                                                   365                </w:t>
            </w:r>
            <w:r w:rsidRPr="00E34F1A">
              <w:rPr>
                <w:rFonts w:ascii="Times New Roman" w:eastAsia="Times New Roman" w:hAnsi="Times New Roman" w:cs="Times New Roman"/>
                <w:b/>
                <w:bCs/>
                <w:color w:val="000000"/>
                <w:kern w:val="0"/>
                <w:sz w:val="24"/>
                <w:szCs w:val="24"/>
                <w14:ligatures w14:val="none"/>
              </w:rPr>
              <w:br/>
              <w:t xml:space="preserve">        Số ngày của L/C được tính từ ngày L/C bắt đầu có hiệu lực đến ngày L/C hết hiệu lực.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6.Mã phí từ TF/D3, TF/K4 - Sửa đổi tăng số tiền/Sửa đổi gia hạn ngày hiệu lực:</w:t>
            </w:r>
            <w:r w:rsidRPr="00E34F1A">
              <w:rPr>
                <w:rFonts w:ascii="Times New Roman" w:eastAsia="Times New Roman" w:hAnsi="Times New Roman" w:cs="Times New Roman"/>
                <w:b/>
                <w:bCs/>
                <w:color w:val="000000"/>
                <w:kern w:val="0"/>
                <w:sz w:val="24"/>
                <w:szCs w:val="24"/>
                <w14:ligatures w14:val="none"/>
              </w:rPr>
              <w:br/>
              <w:t xml:space="preserve">        Áp dụng đối với trường hợp thay đổi giá trị/thời hạn L/C đã phát hành. </w:t>
            </w:r>
            <w:r w:rsidRPr="00E34F1A">
              <w:rPr>
                <w:rFonts w:ascii="Times New Roman" w:eastAsia="Times New Roman" w:hAnsi="Times New Roman" w:cs="Times New Roman"/>
                <w:b/>
                <w:bCs/>
                <w:color w:val="000000"/>
                <w:kern w:val="0"/>
                <w:sz w:val="24"/>
                <w:szCs w:val="24"/>
                <w14:ligatures w14:val="none"/>
              </w:rPr>
              <w:br/>
              <w:t xml:space="preserve">        -        Trường hợp, sửa đổi tăng tiền: Phí được tính trên phần giá trị tăng thêm của L/C kể từ ngày phát hành sửa đổi đến ngày hết hạn hiệu lực.</w:t>
            </w:r>
            <w:r w:rsidRPr="00E34F1A">
              <w:rPr>
                <w:rFonts w:ascii="Times New Roman" w:eastAsia="Times New Roman" w:hAnsi="Times New Roman" w:cs="Times New Roman"/>
                <w:b/>
                <w:bCs/>
                <w:color w:val="000000"/>
                <w:kern w:val="0"/>
                <w:sz w:val="24"/>
                <w:szCs w:val="24"/>
                <w14:ligatures w14:val="none"/>
              </w:rPr>
              <w:br/>
              <w:t xml:space="preserve">        -        Trường hợp sửa đổi gia hạn ngày hiệu lực: Phí được tính trên giá trị của L/C kể từ ngày hết hạn hiệu lực cũ đến ngày hết hạn hiệu lực mới.</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7.Mã phí TF/D4, TF/K5 - Sửa đổi khác:</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lastRenderedPageBreak/>
              <w:t xml:space="preserve">        Áp dụng trong trường hợp sửa đổi các yếu tố không liên quan đến giá trị và thời gian hiệu lực của L/C. </w:t>
            </w:r>
            <w:r w:rsidRPr="00E34F1A">
              <w:rPr>
                <w:rFonts w:ascii="Times New Roman" w:eastAsia="Times New Roman" w:hAnsi="Times New Roman" w:cs="Times New Roman"/>
                <w:b/>
                <w:bCs/>
                <w:color w:val="000000"/>
                <w:kern w:val="0"/>
                <w:sz w:val="24"/>
                <w:szCs w:val="24"/>
                <w14:ligatures w14:val="none"/>
              </w:rPr>
              <w:br/>
              <w:t xml:space="preserve">        Lưu ý: Trường hợp khách hàng sửa đổi cả về trị giá tăng thêm và gia hạn thời hạn thì phí được tính trên giá trị L/C mới kể từ ngày hết hạn hiệu lực cũ đến ngày hiệu lực mới và phần giá trị tăng thêm của L/C kể từ ngày sửa đổi đến ngày hết hạn hiệu lực cũ. Trường hợp khách hàng yêu cầu sửa đổi đồng thời cả về giá trị và các yếu tố khác hoặc thời hạn và các yếu tố khác thì chỉ thu theo một mức phí cao hơn cho mỗi lần sửa đổi.</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8.Mã phí TF/D8, TF/K6 - Hủy thư tín dụng:</w:t>
            </w:r>
            <w:r w:rsidRPr="00E34F1A">
              <w:rPr>
                <w:rFonts w:ascii="Times New Roman" w:eastAsia="Times New Roman" w:hAnsi="Times New Roman" w:cs="Times New Roman"/>
                <w:b/>
                <w:bCs/>
                <w:color w:val="000000"/>
                <w:kern w:val="0"/>
                <w:sz w:val="24"/>
                <w:szCs w:val="24"/>
                <w14:ligatures w14:val="none"/>
              </w:rPr>
              <w:br/>
              <w:t xml:space="preserve">        Áp dụng khi khách hàng hoặc người thụ hưởng yêu cầu hủy trước hạn L/C mà Chi nhánh đã phát hành cho khách hàng. Trường hợp L/C đủ điều kiện đóng hồ sơ theo quy định thì không thu phí này.</w:t>
            </w:r>
            <w:r w:rsidRPr="00E34F1A">
              <w:rPr>
                <w:rFonts w:ascii="Times New Roman" w:eastAsia="Times New Roman" w:hAnsi="Times New Roman" w:cs="Times New Roman"/>
                <w:b/>
                <w:bCs/>
                <w:color w:val="000000"/>
                <w:kern w:val="0"/>
                <w:sz w:val="24"/>
                <w:szCs w:val="24"/>
                <w14:ligatures w14:val="none"/>
              </w:rPr>
              <w:br/>
            </w:r>
          </w:p>
        </w:tc>
      </w:tr>
      <w:tr w:rsidR="00E34F1A" w:rsidRPr="00E34F1A" w:rsidTr="00E34F1A">
        <w:trPr>
          <w:trHeight w:val="408"/>
        </w:trPr>
        <w:tc>
          <w:tcPr>
            <w:tcW w:w="9980" w:type="dxa"/>
            <w:gridSpan w:val="6"/>
            <w:vMerge w:val="restart"/>
            <w:tcBorders>
              <w:top w:val="nil"/>
              <w:left w:val="nil"/>
              <w:bottom w:val="nil"/>
              <w:right w:val="nil"/>
            </w:tcBorders>
            <w:shd w:val="clear" w:color="auto" w:fill="auto"/>
            <w:noWrap/>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p>
        </w:tc>
      </w:tr>
      <w:tr w:rsidR="00E34F1A" w:rsidRPr="00E34F1A" w:rsidTr="00E34F1A">
        <w:trPr>
          <w:trHeight w:val="408"/>
        </w:trPr>
        <w:tc>
          <w:tcPr>
            <w:tcW w:w="9980" w:type="dxa"/>
            <w:gridSpan w:val="6"/>
            <w:vMerge/>
            <w:tcBorders>
              <w:top w:val="nil"/>
              <w:left w:val="nil"/>
              <w:bottom w:val="nil"/>
              <w:right w:val="nil"/>
            </w:tcBorders>
            <w:vAlign w:val="center"/>
            <w:hideMark/>
          </w:tcPr>
          <w:p w:rsidR="00E34F1A" w:rsidRPr="00E34F1A" w:rsidRDefault="00E34F1A" w:rsidP="00E34F1A">
            <w:pPr>
              <w:spacing w:after="0" w:line="240" w:lineRule="auto"/>
              <w:rPr>
                <w:rFonts w:ascii="Times New Roman" w:eastAsia="Times New Roman" w:hAnsi="Times New Roman" w:cs="Times New Roman"/>
                <w:b/>
                <w:bCs/>
                <w:color w:val="000000"/>
                <w:kern w:val="0"/>
                <w:sz w:val="24"/>
                <w:szCs w:val="24"/>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30/09/2024)</w:t>
            </w:r>
            <w:r w:rsidRPr="00E34F1A">
              <w:rPr>
                <w:rFonts w:ascii="&quot;Times New Roman&quot;" w:eastAsia="Times New Roman" w:hAnsi="&quot;Times New Roman&quot;" w:cs="Arial"/>
                <w:b/>
                <w:bCs/>
                <w:color w:val="000000"/>
                <w:kern w:val="0"/>
                <w:sz w:val="28"/>
                <w:szCs w:val="28"/>
                <w14:ligatures w14:val="none"/>
              </w:rPr>
              <w:br/>
              <w:t xml:space="preserve"> NGHIỆP VỤ NHỜ THU</w:t>
            </w:r>
          </w:p>
        </w:tc>
      </w:tr>
      <w:tr w:rsidR="00E34F1A" w:rsidRPr="00E34F1A" w:rsidTr="00E34F1A">
        <w:trPr>
          <w:trHeight w:val="264"/>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Nhờ thu gửi đi/ Nhờ thu xuất khẩu</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Gửi nhờ thu gửi đi/ Nhờ thu xuất khẩu</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Gửi nhờ thu đi nước ngoài nhờ thu: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USD/giao dịch + bưu phí thực tế</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Gửi nhờ thu đi trong nước nhờ thu: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USD/giao dịch + bưu phí thực tế</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Thanh toán nhờ thu gửi đi/ Nhờ thu xuất khẩu</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Gửi đi nước ngoài: Bộ chứng từ</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bộ chứng từ</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Gửi đi trong nước: Bộ chứng từ</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0,15%/ giá trị bộ chứng từ</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Dịch vụ khác liên quan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thông báo nhờ thu gửi đi/ nhờ thu xuất khẩu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 /giao dịch</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nhờ thu gửi đi/ nhờ thu xuất khẩu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USD/giao dịch</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nhờ thu theo yêu cầu của khách hàng nhờ thu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 phí thực tế phải trả NH nước ngoài</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Nhờ thu gửi đi/ nhờ thu xuất khẩu bị từ chối thanh toán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 phí thực tế phải trả NH nước ngoài</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tiếp bộ chứng từ nhờ thu đến NH khác (Phí trong nước)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USD+Bưu phí thực tế</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I6</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tiếp bộ chứng từ nhờ thu đến NH khác (Phí ngoài nước)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USD+Bưu phí thực tế</w:t>
            </w:r>
          </w:p>
        </w:tc>
      </w:tr>
      <w:tr w:rsidR="00E34F1A" w:rsidRPr="00E34F1A" w:rsidTr="00E34F1A">
        <w:trPr>
          <w:trHeight w:val="21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Quản lý BCT nhờ thu (trường hợp hồ sơ thanh toán từ 2 lần trở lên hoặc quá 30 ngày kể từ ngày gửi bộ chứng từ nhờ thu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 bộ/ tháng (đối với thời gian quá 15 ngày được tính tròn tháng)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Nhờ thu đến/ Nhờ thu nhập khẩu</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2.1. Nhận và thông báo nhờ thu đến/ nhờ thu nhập khẩu</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J1</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Nhờ thu từ nước ngoài gửi đến/ nhờ thu nhập khẩu: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Nhờ thu trong nước gửi đến: Bộ chứng từ</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tiếp bộ chứng từ đến ngân hàng trong nước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USD/bộ + Bưu phí theo thực tế phát sinh</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Chuyển tiếp bộ chứng từ đến ngân hàng nước ngoài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USD/bộ + Bưu phí theo thực tế phát sinh</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2.2. Thanh toán nhờ thu đến/ Nhờ thu nhập khẩu</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Thanh toán nhờ thu từ nước ngoài gửi đến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nhờ thu</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J5</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Thanh toán nhờ thu trong nước gửi đến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 giá trị nhờ thu</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 USD</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2.3. Dịch vụ khác liên quan</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Hủy nhờ thu theo yêu cầu của người nhờ thu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 + phí thực tế thu từ NH nước ngoài</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Từ chối thanh toán nhờ thu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 + phí thực tế thu từ NH nước ngoài</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Sửa đổi/ Điều chỉnh chỉ thị nhờ thu gửi đến/ nhờ thu nhập khẩu theo yêu cầu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USD/giao dịch</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thông báo nhờ thu trong nước</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 USD/giao dịch</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Tra soát/ thông báo nhờ thu nước ngoài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USD/giao dịch</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Ký hậu vận đơn hoặc ủy quyền nhận hàng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 USD/ giao dịch</w:t>
            </w:r>
          </w:p>
        </w:tc>
      </w:tr>
      <w:tr w:rsidR="00E34F1A" w:rsidRPr="00E34F1A" w:rsidTr="00E34F1A">
        <w:trPr>
          <w:trHeight w:val="21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Quản lý BCT nhờ thu (trường hợp BCT thanh toán từ 2 lần trở lên hoặc quá 30 ngày kể từ ngày thông báo nhờ thu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 bộ/ tháng (đối với thời gian quá 15 ngày được tính tròn tháng)</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 USD</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7289" w:type="dxa"/>
            <w:gridSpan w:val="4"/>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Ứng trước bộ chứng từ nhờ thu</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xử lý hồ sơ nhờ thu ứng trước.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 USD/bộ</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TF</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JD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Ứng trước tiền cho bộ chứng từ nhờ thu gửi đi/ nhờ thu xuất khẩu</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Thoả thuận trên cơ sở khung lãi vay ngoại tệ</w:t>
            </w:r>
          </w:p>
        </w:tc>
      </w:tr>
      <w:tr w:rsidR="00E34F1A" w:rsidRPr="00E34F1A" w:rsidTr="00E34F1A">
        <w:trPr>
          <w:trHeight w:val="408"/>
        </w:trPr>
        <w:tc>
          <w:tcPr>
            <w:tcW w:w="9980" w:type="dxa"/>
            <w:gridSpan w:val="6"/>
            <w:vMerge w:val="restart"/>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p>
        </w:tc>
      </w:tr>
      <w:tr w:rsidR="00E34F1A" w:rsidRPr="00E34F1A" w:rsidTr="00E34F1A">
        <w:trPr>
          <w:trHeight w:val="408"/>
        </w:trPr>
        <w:tc>
          <w:tcPr>
            <w:tcW w:w="9980" w:type="dxa"/>
            <w:gridSpan w:val="6"/>
            <w:vMerge/>
            <w:tcBorders>
              <w:top w:val="nil"/>
              <w:left w:val="nil"/>
              <w:bottom w:val="nil"/>
              <w:right w:val="nil"/>
            </w:tcBorders>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p>
        </w:tc>
      </w:tr>
      <w:tr w:rsidR="00E34F1A" w:rsidRPr="00E34F1A" w:rsidTr="00E34F1A">
        <w:trPr>
          <w:trHeight w:val="264"/>
        </w:trPr>
        <w:tc>
          <w:tcPr>
            <w:tcW w:w="9980" w:type="dxa"/>
            <w:gridSpan w:val="6"/>
            <w:tcBorders>
              <w:top w:val="nil"/>
              <w:left w:val="nil"/>
              <w:bottom w:val="nil"/>
              <w:right w:val="nil"/>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Quyết định số 2084/QĐ-NHNo.BTPHCM-KTNQ ngày 30/09/2024)</w:t>
            </w:r>
            <w:r w:rsidRPr="00E34F1A">
              <w:rPr>
                <w:rFonts w:ascii="&quot;Times New Roman&quot;" w:eastAsia="Times New Roman" w:hAnsi="&quot;Times New Roman&quot;" w:cs="Arial"/>
                <w:b/>
                <w:bCs/>
                <w:color w:val="000000"/>
                <w:kern w:val="0"/>
                <w:sz w:val="28"/>
                <w:szCs w:val="28"/>
                <w14:ligatures w14:val="none"/>
              </w:rPr>
              <w:br/>
              <w:t xml:space="preserve"> PHÍ LIÊN QUAN ĐẾN HOẠT ĐỘNG CHO VAY</w:t>
            </w:r>
          </w:p>
        </w:tc>
      </w:tr>
      <w:tr w:rsidR="00E34F1A" w:rsidRPr="00E34F1A" w:rsidTr="00E34F1A">
        <w:trPr>
          <w:trHeight w:val="264"/>
        </w:trPr>
        <w:tc>
          <w:tcPr>
            <w:tcW w:w="1345" w:type="dxa"/>
            <w:vMerge w:val="restart"/>
            <w:tcBorders>
              <w:top w:val="single" w:sz="4" w:space="0" w:color="000000"/>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single" w:sz="4" w:space="0" w:color="000000"/>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single" w:sz="4" w:space="0" w:color="000000"/>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single" w:sz="4" w:space="0" w:color="000000"/>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single" w:sz="4" w:space="0" w:color="000000"/>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single" w:sz="4" w:space="0" w:color="000000"/>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 Phí trả nợ trước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P9/B9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 Phí trả nợ trước hạn áp dụng đối với khách hàng vay trả ngay trong ngày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0,50%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 Phí trả nợ trước hạn áp dụng đối với khách hàng vay trả sau 01 ngày trở lên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2.1 Vay ngắn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Thời gian vay thực tế &gt;70% thời gian vay theo HĐTD/Giấy nhận nợ</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Thời gian vay thực tế &lt; 70% thời gian vay theo HĐTD/Giấy nhận nợ</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0,50%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5.000.000VNĐ</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2.2 Vay trung, dài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Trả nợ trước hạn trong năm đầu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Trả nợ trước hạn trong năm thứ 2</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l,5%</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Trả nợ trước hạn từ năm thứ 3 trở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50.000.000 VNĐ</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II. Phí trả cho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0,1%/năm x Hạn mức</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Điều chỉnh tăng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0,05%/năm x Hạn mức tăng thêm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10.000.000 VNĐ</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Gia hạn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0,1%/năm x Hạn mức</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20.000.000 VNĐ</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III. Phí thu xếp cho vay hợp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M3/A3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thu xếp cho vay hợp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 x Số tiền thu xếp</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10.000.000 VNĐ</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M4/A4</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IV. Phí cam kết rút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 x Số tiền không thực hiện rút vốn theo cam kết</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2.000.000 VNĐ</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V. Phí hủy bỏ cam kết rút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0,25% x Số tiền cam kết rút vốn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right"/>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3.000.000 VNĐ</w:t>
            </w:r>
          </w:p>
        </w:tc>
      </w:tr>
      <w:tr w:rsidR="00E34F1A" w:rsidRPr="00E34F1A" w:rsidTr="00E34F1A">
        <w:trPr>
          <w:trHeight w:val="249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VI. Các loại phí khác liên quan đến hoạt động cho vay được quy định cụ thể tại văn bản quy phạm pháp luật liên quan của cơ quan Nhà nước có thẩm quyền.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Tỷ lệ phí theo quy định cụ thể của văn bản liên quan</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nil"/>
              <w:left w:val="nil"/>
              <w:bottom w:val="nil"/>
              <w:right w:val="nil"/>
            </w:tcBorders>
            <w:shd w:val="clear" w:color="FFF2CC" w:fill="FFF2CC"/>
            <w:vAlign w:val="center"/>
            <w:hideMark/>
          </w:tcPr>
          <w:p w:rsidR="00E34F1A" w:rsidRPr="00E34F1A" w:rsidRDefault="00E34F1A" w:rsidP="00E34F1A">
            <w:pPr>
              <w:spacing w:after="0" w:line="240" w:lineRule="auto"/>
              <w:rPr>
                <w:rFonts w:ascii="Times New Roman" w:eastAsia="Times New Roman" w:hAnsi="Times New Roman" w:cs="Times New Roman"/>
                <w:b/>
                <w:bCs/>
                <w:color w:val="000000"/>
                <w:kern w:val="0"/>
                <w:sz w:val="24"/>
                <w:szCs w:val="24"/>
                <w14:ligatures w14:val="none"/>
              </w:rPr>
            </w:pPr>
            <w:r w:rsidRPr="00E34F1A">
              <w:rPr>
                <w:rFonts w:ascii="Times New Roman" w:eastAsia="Times New Roman" w:hAnsi="Times New Roman" w:cs="Times New Roman"/>
                <w:b/>
                <w:bCs/>
                <w:color w:val="000000"/>
                <w:kern w:val="0"/>
                <w:sz w:val="24"/>
                <w:szCs w:val="24"/>
                <w14:ligatures w14:val="none"/>
              </w:rPr>
              <w:t>Ghi chú:</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1.  Các loại phí liên quan đến hoạt động cho vay không thuộc đối tượng chịu thuế giá trị gia tăng theo quy định tại Thông tư số 219/2013/TT-BTC ngày 31/12/2013 của Bộ Tài chính về hướng dẫn thi hành Luật thuế giá trị gia tăng và Nghị định số 209/2013/NĐ-CP ngày 18/12/2013 của Chính phủ quy định chi tiết và hướng dẫn thi hành một số điều luật thuế GTGT.</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2.  Việc tính phí liên quan đến hoạt động cho vay thực hiện theo quy định tại Điều 12 Quy định số 2268/QyĐ-NHNo-TD ngày 19/9/2023 của Tổng Giám đốc về Quy định cho vay đối với khách hàng trong hệ thống Agribank và các văn bản sửa đổi, bổ sung.</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3.  Đối với phí trả nợ trước hạn </w:t>
            </w:r>
            <w:r w:rsidRPr="00E34F1A">
              <w:rPr>
                <w:rFonts w:ascii="Times New Roman" w:eastAsia="Times New Roman" w:hAnsi="Times New Roman" w:cs="Times New Roman"/>
                <w:b/>
                <w:bCs/>
                <w:color w:val="000000"/>
                <w:kern w:val="0"/>
                <w:sz w:val="24"/>
                <w:szCs w:val="24"/>
                <w14:ligatures w14:val="none"/>
              </w:rPr>
              <w:br/>
              <w:t xml:space="preserve">         a)  Tỷ lệ phí, mức phí trả nợ trước hạn quy định tại  mã phí LN/1B, LN/1C, LN/1D Biểu phí nêu trên chỉ áp dụng khi khách hàng tất toán khoản vay.</w:t>
            </w:r>
            <w:r w:rsidRPr="00E34F1A">
              <w:rPr>
                <w:rFonts w:ascii="Times New Roman" w:eastAsia="Times New Roman" w:hAnsi="Times New Roman" w:cs="Times New Roman"/>
                <w:b/>
                <w:bCs/>
                <w:color w:val="000000"/>
                <w:kern w:val="0"/>
                <w:sz w:val="24"/>
                <w:szCs w:val="24"/>
                <w14:ligatures w14:val="none"/>
              </w:rPr>
              <w:br/>
              <w:t xml:space="preserve">         b)  Không thu phí trả nợ trước hạn đối với các trường hợp: Cho vay bảo đảm bằng giấy tờ có giá, thẻ tiết kiệm do Agribank phát hành; cho vay theo hạn mức tín dụng; thấu chi tài khoản; cho vay thẻ tín dụng; cho vay hộ sản xuất cá nhân thuộc 05 lĩnh vực ưu tiên theo Khoản 2 Điều 13 Thông tư số 39/2016/TT- NHNN ngày 30/12/2016 của Thống đốc NHNN; trả nợ trước hạn đúng số tiền thỏa thuận đối với 01 phân kỳ trong cho vay tiêu dùng; các khoản nợ được cơ cấu thời hạn trả nợ; các trường hợp Agribank chủ động yêu cầu khách hàng trả nợ trước hạn hoặc theo yêu cầu của cơ quan thanh tra, kiểm tra, kiểm toán.</w:t>
            </w:r>
            <w:r w:rsidRPr="00E34F1A">
              <w:rPr>
                <w:rFonts w:ascii="Times New Roman" w:eastAsia="Times New Roman" w:hAnsi="Times New Roman" w:cs="Times New Roman"/>
                <w:b/>
                <w:bCs/>
                <w:color w:val="000000"/>
                <w:kern w:val="0"/>
                <w:sz w:val="24"/>
                <w:szCs w:val="24"/>
                <w14:ligatures w14:val="none"/>
              </w:rPr>
              <w:br/>
              <w:t xml:space="preserve">         c)  Các trường hợp khác: </w:t>
            </w:r>
            <w:r w:rsidRPr="00E34F1A">
              <w:rPr>
                <w:rFonts w:ascii="Times New Roman" w:eastAsia="Times New Roman" w:hAnsi="Times New Roman" w:cs="Times New Roman"/>
                <w:b/>
                <w:bCs/>
                <w:color w:val="000000"/>
                <w:kern w:val="0"/>
                <w:sz w:val="24"/>
                <w:szCs w:val="24"/>
                <w14:ligatures w14:val="none"/>
              </w:rPr>
              <w:br/>
              <w:t xml:space="preserve">              -  Trả nợ trước hạn đối với phân kỳ trả nợ trong vay tiêu dùng áp dụng mức phí là 0 đồng.</w:t>
            </w:r>
            <w:r w:rsidRPr="00E34F1A">
              <w:rPr>
                <w:rFonts w:ascii="Times New Roman" w:eastAsia="Times New Roman" w:hAnsi="Times New Roman" w:cs="Times New Roman"/>
                <w:b/>
                <w:bCs/>
                <w:color w:val="000000"/>
                <w:kern w:val="0"/>
                <w:sz w:val="24"/>
                <w:szCs w:val="24"/>
                <w14:ligatures w14:val="none"/>
              </w:rPr>
              <w:br/>
              <w:t xml:space="preserve">              -  Trả nợ trước hạn đối với số tiền của từng phân kỳ trong cho vay theo dự án trung, dài hạn có phân kỳ trả nợ áp dụng mức phí là 0 đồng..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4.  Phí trả hạn mức tín dụng dự phòng: Thu ngay khi ký kết hợp đồng hạn mức tín dụng dự phòng với khách hàng (bao gồm cả trường hợp khách hàng không sử dụng hạn mức tín dụng dự phòng được cấp).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5.  Phí thu xếp cho vay hợp vốn: Thu khi Agribank là đầu mối thu xếp các dự án cho vay hợp vốn, thu phí một lần vào ngày ký HĐTD/ngày giải ngân đầu tiên.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lastRenderedPageBreak/>
              <w:br/>
              <w:t xml:space="preserve">    6.  Các loại phí liên quan đến hoạt động cho vay phải được thỏa thuận với khách hàng và ghi rõ trong Hợp đồng tín dụng; là một nội dung để chi nhánh đàm phán với khách hàng trước khi ký kết hợp đồng tín dụng. </w:t>
            </w:r>
          </w:p>
        </w:tc>
      </w:tr>
      <w:tr w:rsidR="00E34F1A" w:rsidRPr="00E34F1A" w:rsidTr="00E34F1A">
        <w:trPr>
          <w:trHeight w:val="408"/>
        </w:trPr>
        <w:tc>
          <w:tcPr>
            <w:tcW w:w="9980" w:type="dxa"/>
            <w:gridSpan w:val="6"/>
            <w:vMerge w:val="restart"/>
            <w:tcBorders>
              <w:top w:val="single" w:sz="4" w:space="0" w:color="000000"/>
              <w:left w:val="nil"/>
              <w:bottom w:val="single" w:sz="4" w:space="0" w:color="000000"/>
              <w:right w:val="nil"/>
            </w:tcBorders>
            <w:shd w:val="clear" w:color="auto" w:fill="auto"/>
            <w:noWrap/>
            <w:vAlign w:val="center"/>
            <w:hideMark/>
          </w:tcPr>
          <w:p w:rsidR="00E34F1A" w:rsidRPr="00E34F1A" w:rsidRDefault="00E34F1A" w:rsidP="00E34F1A">
            <w:pPr>
              <w:spacing w:after="0" w:line="240" w:lineRule="auto"/>
              <w:rPr>
                <w:rFonts w:ascii="Arial" w:eastAsia="Times New Roman" w:hAnsi="Arial" w:cs="Arial"/>
                <w:color w:val="000000"/>
                <w:kern w:val="0"/>
                <w:sz w:val="20"/>
                <w:szCs w:val="20"/>
                <w14:ligatures w14:val="none"/>
              </w:rPr>
            </w:pPr>
            <w:r w:rsidRPr="00E34F1A">
              <w:rPr>
                <w:rFonts w:ascii="Arial" w:eastAsia="Times New Roman" w:hAnsi="Arial" w:cs="Arial"/>
                <w:color w:val="000000"/>
                <w:kern w:val="0"/>
                <w:sz w:val="20"/>
                <w:szCs w:val="20"/>
                <w14:ligatures w14:val="none"/>
              </w:rPr>
              <w:lastRenderedPageBreak/>
              <w:t> </w:t>
            </w:r>
          </w:p>
        </w:tc>
      </w:tr>
      <w:tr w:rsidR="00E34F1A" w:rsidRPr="00E34F1A" w:rsidTr="00E34F1A">
        <w:trPr>
          <w:trHeight w:val="408"/>
        </w:trPr>
        <w:tc>
          <w:tcPr>
            <w:tcW w:w="9980" w:type="dxa"/>
            <w:gridSpan w:val="6"/>
            <w:vMerge/>
            <w:tcBorders>
              <w:top w:val="single" w:sz="4" w:space="0" w:color="000000"/>
              <w:left w:val="nil"/>
              <w:bottom w:val="single" w:sz="4" w:space="0" w:color="000000"/>
              <w:right w:val="nil"/>
            </w:tcBorders>
            <w:vAlign w:val="center"/>
            <w:hideMark/>
          </w:tcPr>
          <w:p w:rsidR="00E34F1A" w:rsidRPr="00E34F1A" w:rsidRDefault="00E34F1A" w:rsidP="00E34F1A">
            <w:pPr>
              <w:spacing w:after="0" w:line="240" w:lineRule="auto"/>
              <w:rPr>
                <w:rFonts w:ascii="Arial" w:eastAsia="Times New Roman" w:hAnsi="Arial" w:cs="Arial"/>
                <w:color w:val="000000"/>
                <w:kern w:val="0"/>
                <w:sz w:val="20"/>
                <w:szCs w:val="20"/>
                <w14:ligatures w14:val="none"/>
              </w:rPr>
            </w:pPr>
          </w:p>
        </w:tc>
      </w:tr>
      <w:tr w:rsidR="00E34F1A" w:rsidRPr="00E34F1A" w:rsidTr="00E34F1A">
        <w:trPr>
          <w:trHeight w:val="264"/>
        </w:trPr>
        <w:tc>
          <w:tcPr>
            <w:tcW w:w="9980" w:type="dxa"/>
            <w:gridSpan w:val="6"/>
            <w:tcBorders>
              <w:top w:val="nil"/>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8"/>
                <w:szCs w:val="28"/>
                <w14:ligatures w14:val="none"/>
              </w:rPr>
            </w:pPr>
            <w:r w:rsidRPr="00E34F1A">
              <w:rPr>
                <w:rFonts w:ascii="&quot;Times New Roman&quot;" w:eastAsia="Times New Roman" w:hAnsi="&quot;Times New Roman&quot;" w:cs="Arial"/>
                <w:b/>
                <w:bCs/>
                <w:color w:val="000000"/>
                <w:kern w:val="0"/>
                <w:sz w:val="28"/>
                <w:szCs w:val="28"/>
                <w14:ligatures w14:val="none"/>
              </w:rPr>
              <w:t>PHỤ LỤC II/BPKHTC: BIỂU PHÍ DỊCH VỤ KHÁCH HÀNG TỔ CHỨC</w:t>
            </w:r>
            <w:r w:rsidRPr="00E34F1A">
              <w:rPr>
                <w:rFonts w:ascii="&quot;Times New Roman&quot;" w:eastAsia="Times New Roman" w:hAnsi="&quot;Times New Roman&quot;" w:cs="Arial"/>
                <w:b/>
                <w:bCs/>
                <w:color w:val="000000"/>
                <w:kern w:val="0"/>
                <w:sz w:val="28"/>
                <w:szCs w:val="28"/>
                <w14:ligatures w14:val="none"/>
              </w:rPr>
              <w:br/>
              <w:t xml:space="preserve"> (Ban hành kèm theo Quy định số 2084/QĐ-NHNoBTPHCM-KTNQ ngày 30/09/2024)</w:t>
            </w:r>
            <w:r w:rsidRPr="00E34F1A">
              <w:rPr>
                <w:rFonts w:ascii="&quot;Times New Roman&quot;" w:eastAsia="Times New Roman" w:hAnsi="&quot;Times New Roman&quot;" w:cs="Arial"/>
                <w:b/>
                <w:bCs/>
                <w:color w:val="000000"/>
                <w:kern w:val="0"/>
                <w:sz w:val="28"/>
                <w:szCs w:val="28"/>
                <w14:ligatures w14:val="none"/>
              </w:rPr>
              <w:br/>
              <w:t xml:space="preserve"> DỊCH VỤ NGÂN HÀNG ĐIỆN TỬ</w:t>
            </w:r>
          </w:p>
        </w:tc>
      </w:tr>
      <w:tr w:rsidR="00E34F1A" w:rsidRPr="00E34F1A" w:rsidTr="00E34F1A">
        <w:trPr>
          <w:trHeight w:val="264"/>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Phí đăng ký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1.1. Đăng ký sử dụng dịch vụ Agribank eBanking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 Phí đăng ký SMS OTP</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1.3. Phí đăng ký thiết bị xác thực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1.4. Phí mua/cấp lại thiết bị sinh mã OTP</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giá mua từng loại thiết bị</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 Phí mua/cấp lại phần mềm sinh mã OTP</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PE</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1.6. Phí thay đổi phương thức xác thực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1.7. Phí hủy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 VNĐ/lần</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Phí duy trì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2.1. Dịch vụ phi tài chính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200.000VNĐ/năm</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2.2. Dịch vụ tài chính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300.000VNĐ/năm</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Phí giao dịch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3.1. Dịch vụ phi tài chính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3.2. Dịch vụ tài chính</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3.3. Chuyển tiền trong hệ thống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3.4. Chuyển tiền đi khác hệ thống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6.000 VNĐ</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 Chuyển tiền theo danh sách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4.1. Chuyển tiền theo danh sách (người thụ hưởng có tài khoản tại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4.2. Chuyển tiền theo danh sách (người thụ hưởng có tài khoản tại ngân hàng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Thu theo mức phí chuyển tiền tương ứng (theo từng bút toán)</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5. Dịch vụ nộp thuế điện tử</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5.1. Tài khoản KBNN mở tại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5.2. Tài khoản KBNN mở tại ngân hàng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mức phí chuyển tiền tương ứng trong từng thời kỳ</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6. Dịch vụ nộp bảo hiểm xã hội</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6.1. Tài khoản BHXH mở tại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6.2. Tài khoản BHXH mở tại ngân hàng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mức phí chuyển tiền tương ứng trong từng thời kỳ</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7. Dịch vụ Quản lý thanh khoản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EG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8. Phí giao dịch dịch vụ công quốc gia</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9. Thanh toán hóa đơn</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Theo thỏa thuận từng đối tác</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IJ</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10. Phí tra soát giao dịch</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FX</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IK</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10.1. Tra soát giao dịch trong hệ thống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 VNĐ/lần</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10.2. Tra soát giao dịch ngoài hệ thống Agribank</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 VNĐ/lần</w:t>
            </w:r>
          </w:p>
        </w:tc>
      </w:tr>
      <w:tr w:rsidR="00E34F1A" w:rsidRPr="00E34F1A" w:rsidTr="00E34F1A">
        <w:trPr>
          <w:trHeight w:val="15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10.3. Tra soát giao dịch liên quan sự cố bất khả kháng, lỗi đường truyền, mạng viễn thông</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Các dịch vụ khác</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Áp dụng theo quy định của từng dịch vụ</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Dịch vụ SMS Banking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duy trì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VNĐ/tài khoản/tháng</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13. Dịch vụ Agribank Plus</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nil"/>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3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duy trì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 VNĐ/tài khoản/tháng</w:t>
            </w:r>
          </w:p>
        </w:tc>
      </w:tr>
      <w:tr w:rsidR="00E34F1A" w:rsidRPr="00E34F1A" w:rsidTr="00E34F1A">
        <w:trPr>
          <w:trHeight w:val="408"/>
        </w:trPr>
        <w:tc>
          <w:tcPr>
            <w:tcW w:w="9980" w:type="dxa"/>
            <w:gridSpan w:val="6"/>
            <w:vMerge w:val="restart"/>
            <w:tcBorders>
              <w:top w:val="nil"/>
              <w:left w:val="nil"/>
              <w:bottom w:val="nil"/>
              <w:right w:val="nil"/>
            </w:tcBorders>
            <w:shd w:val="clear" w:color="auto" w:fill="auto"/>
            <w:noWrap/>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p>
        </w:tc>
      </w:tr>
      <w:tr w:rsidR="00E34F1A" w:rsidRPr="00E34F1A" w:rsidTr="00E34F1A">
        <w:trPr>
          <w:trHeight w:val="408"/>
        </w:trPr>
        <w:tc>
          <w:tcPr>
            <w:tcW w:w="9980" w:type="dxa"/>
            <w:gridSpan w:val="6"/>
            <w:vMerge/>
            <w:tcBorders>
              <w:top w:val="nil"/>
              <w:left w:val="nil"/>
              <w:bottom w:val="nil"/>
              <w:right w:val="nil"/>
            </w:tcBorders>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EA9999" w:fill="EA9999"/>
            <w:vAlign w:val="center"/>
            <w:hideMark/>
          </w:tcPr>
          <w:p w:rsidR="00E34F1A" w:rsidRPr="00E34F1A" w:rsidRDefault="00E34F1A" w:rsidP="00E34F1A">
            <w:pPr>
              <w:spacing w:after="0" w:line="240" w:lineRule="auto"/>
              <w:jc w:val="center"/>
              <w:rPr>
                <w:rFonts w:ascii="Times New Roman" w:eastAsia="Times New Roman" w:hAnsi="Times New Roman" w:cs="Times New Roman"/>
                <w:b/>
                <w:bCs/>
                <w:color w:val="000000"/>
                <w:kern w:val="0"/>
                <w:sz w:val="28"/>
                <w:szCs w:val="28"/>
                <w14:ligatures w14:val="none"/>
              </w:rPr>
            </w:pPr>
            <w:r w:rsidRPr="00E34F1A">
              <w:rPr>
                <w:rFonts w:ascii="Times New Roman" w:eastAsia="Times New Roman" w:hAnsi="Times New Roman" w:cs="Times New Roman"/>
                <w:b/>
                <w:bCs/>
                <w:color w:val="000000"/>
                <w:kern w:val="0"/>
                <w:sz w:val="28"/>
                <w:szCs w:val="28"/>
                <w14:ligatures w14:val="none"/>
              </w:rPr>
              <w:t>PHỤ LỤC II/BPKHTC: BIỂU PHÍ DỊCH VỤ KHTC</w:t>
            </w:r>
            <w:r w:rsidRPr="00E34F1A">
              <w:rPr>
                <w:rFonts w:ascii="Times New Roman" w:eastAsia="Times New Roman" w:hAnsi="Times New Roman" w:cs="Times New Roman"/>
                <w:b/>
                <w:bCs/>
                <w:color w:val="000000"/>
                <w:kern w:val="0"/>
                <w:sz w:val="28"/>
                <w:szCs w:val="28"/>
                <w14:ligatures w14:val="none"/>
              </w:rPr>
              <w:br/>
              <w:t xml:space="preserve"> (Ban hành kèm theo Quy định số 2929/QĐ-NHNo-TCKT ngày 22/8/2024)</w:t>
            </w:r>
            <w:r w:rsidRPr="00E34F1A">
              <w:rPr>
                <w:rFonts w:ascii="Times New Roman" w:eastAsia="Times New Roman" w:hAnsi="Times New Roman" w:cs="Times New Roman"/>
                <w:b/>
                <w:bCs/>
                <w:color w:val="000000"/>
                <w:kern w:val="0"/>
                <w:sz w:val="28"/>
                <w:szCs w:val="28"/>
                <w14:ligatures w14:val="none"/>
              </w:rPr>
              <w:br/>
              <w:t xml:space="preserve"> PHÍ LIÊN QUAN ĐẾN HOẠT ĐỘNG CHO VAY</w:t>
            </w:r>
          </w:p>
        </w:tc>
      </w:tr>
      <w:tr w:rsidR="00E34F1A" w:rsidRPr="00E34F1A" w:rsidTr="00E34F1A">
        <w:trPr>
          <w:trHeight w:val="264"/>
        </w:trPr>
        <w:tc>
          <w:tcPr>
            <w:tcW w:w="1345"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NV</w:t>
            </w:r>
          </w:p>
        </w:tc>
        <w:tc>
          <w:tcPr>
            <w:tcW w:w="134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Mã phí</w:t>
            </w:r>
          </w:p>
        </w:tc>
        <w:tc>
          <w:tcPr>
            <w:tcW w:w="2596" w:type="dxa"/>
            <w:vMerge w:val="restart"/>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Danh mục phí dịch vụ</w:t>
            </w:r>
          </w:p>
        </w:tc>
        <w:tc>
          <w:tcPr>
            <w:tcW w:w="4693" w:type="dxa"/>
            <w:gridSpan w:val="3"/>
            <w:tcBorders>
              <w:top w:val="single" w:sz="4" w:space="0" w:color="000000"/>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 (Chưa bao gồm thuế GTGT)</w:t>
            </w:r>
          </w:p>
        </w:tc>
      </w:tr>
      <w:tr w:rsidR="00E34F1A" w:rsidRPr="00E34F1A" w:rsidTr="00E34F1A">
        <w:trPr>
          <w:trHeight w:val="312"/>
        </w:trPr>
        <w:tc>
          <w:tcPr>
            <w:tcW w:w="1345"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4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2596" w:type="dxa"/>
            <w:vMerge/>
            <w:tcBorders>
              <w:top w:val="nil"/>
              <w:left w:val="single" w:sz="4" w:space="0" w:color="000000"/>
              <w:bottom w:val="single" w:sz="4" w:space="0" w:color="000000"/>
              <w:right w:val="single" w:sz="4" w:space="0" w:color="000000"/>
            </w:tcBorders>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Mức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thiểu</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Tối đa</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 Phí trả nợ trước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1.1. Phí trả nợ trước hạn áp dụng đối với khách hàng vay trả ngay trong ngày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P9/B9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trả nợ trước hạn áp dụng đối với khách hàng vay trả ngay trong ngày</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0,50%</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48"/>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 Phí trả nợ trước hạn áp dụng đối với khách hàng vay trả sau 01 ngày trở lên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312"/>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1.2.1. Vay ngắn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Thời gian vay thực tế &gt;70% thời gian vay theo HĐTD/Giấy nhận nợ</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1A</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Thời gian vay thực tế ≤70% thời gian vay theo HĐTD/Giấy nhận nợ</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0,5%-1%</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Vay ngắn hạn (Theo HMTD)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1G</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Nguồn trả nợ từ doanh thu hoạt động SXKD</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Miễn phí</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9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1H</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Nguồn trả nợ từ vay TCTD khác trả nợ Agribank</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2%-4%</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1.2.2. Vay trung, dài hạn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1B</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Trả nợ trước hạn trong năm đầu</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2%-4%</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1C</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Trả nợ trước hạn trong năm thứ 2</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1,5%-3%</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1D</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Trả nợ trước hạn từ năm thứ 3 trở đi</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1%-2%</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93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2. Phí trả cho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A2</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0,1%/năm x Hạn mức</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A7</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Điều chỉnh tăng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0,05%/năm x Hạn mức tăng thêm</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200.000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A8</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Gia hạn hạn mức tín dụng dự phòng</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x Hạn mức</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500.000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3. Phí thu xếp cho vay hợp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r>
      <w:tr w:rsidR="00E34F1A" w:rsidRPr="00E34F1A" w:rsidTr="00E34F1A">
        <w:trPr>
          <w:trHeight w:val="6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M3/A3</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thu xếp cho vay hợp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0,1% x Số tiền thu xếp</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624"/>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4. Phí cam kết rút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8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DP/LN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M9/A9</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Đối với khách hàng pháp nhân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0,01% x Số tiền không thực hiện rút vốn theo cam kết</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1200"/>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lastRenderedPageBreak/>
              <w:t>LN</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1F</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Phí hủy bỏ cam kết rút vốn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0,25% x Số tiền cam kết rút vốn</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1.000.000 VNĐ</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496"/>
        </w:trPr>
        <w:tc>
          <w:tcPr>
            <w:tcW w:w="1345" w:type="dxa"/>
            <w:tcBorders>
              <w:top w:val="nil"/>
              <w:left w:val="single" w:sz="4" w:space="0" w:color="000000"/>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134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 </w:t>
            </w:r>
          </w:p>
        </w:tc>
        <w:tc>
          <w:tcPr>
            <w:tcW w:w="2596"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b/>
                <w:bCs/>
                <w:color w:val="000000"/>
                <w:kern w:val="0"/>
                <w:sz w:val="24"/>
                <w:szCs w:val="24"/>
                <w14:ligatures w14:val="none"/>
              </w:rPr>
            </w:pPr>
            <w:r w:rsidRPr="00E34F1A">
              <w:rPr>
                <w:rFonts w:ascii="&quot;Times New Roman&quot;" w:eastAsia="Times New Roman" w:hAnsi="&quot;Times New Roman&quot;" w:cs="Arial"/>
                <w:b/>
                <w:bCs/>
                <w:color w:val="000000"/>
                <w:kern w:val="0"/>
                <w:sz w:val="24"/>
                <w:szCs w:val="24"/>
                <w14:ligatures w14:val="none"/>
              </w:rPr>
              <w:t>5. Các loại phí khác liên quan đến hoạt động cho vay được quy định cụ thể tại văn bản quy phạm pháp luật liên quan của cơ quan Nhà nước có thẩm quyền.</w:t>
            </w:r>
          </w:p>
        </w:tc>
        <w:tc>
          <w:tcPr>
            <w:tcW w:w="1393"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39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jc w:val="center"/>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c>
          <w:tcPr>
            <w:tcW w:w="1910" w:type="dxa"/>
            <w:tcBorders>
              <w:top w:val="nil"/>
              <w:left w:val="nil"/>
              <w:bottom w:val="single" w:sz="4" w:space="0" w:color="000000"/>
              <w:right w:val="single" w:sz="4" w:space="0" w:color="000000"/>
            </w:tcBorders>
            <w:shd w:val="clear" w:color="FFFFFF" w:fill="FFFFFF"/>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r w:rsidRPr="00E34F1A">
              <w:rPr>
                <w:rFonts w:ascii="&quot;Times New Roman&quot;" w:eastAsia="Times New Roman" w:hAnsi="&quot;Times New Roman&quot;" w:cs="Arial"/>
                <w:color w:val="000000"/>
                <w:kern w:val="0"/>
                <w:sz w:val="24"/>
                <w:szCs w:val="24"/>
                <w14:ligatures w14:val="none"/>
              </w:rPr>
              <w:t> </w:t>
            </w:r>
          </w:p>
        </w:tc>
      </w:tr>
      <w:tr w:rsidR="00E34F1A" w:rsidRPr="00E34F1A" w:rsidTr="00E34F1A">
        <w:trPr>
          <w:trHeight w:val="264"/>
        </w:trPr>
        <w:tc>
          <w:tcPr>
            <w:tcW w:w="1345"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quot;Times New Roman&quot;" w:eastAsia="Times New Roman" w:hAnsi="&quot;Times New Roman&quot;" w:cs="Arial"/>
                <w:color w:val="000000"/>
                <w:kern w:val="0"/>
                <w:sz w:val="24"/>
                <w:szCs w:val="24"/>
                <w14:ligatures w14:val="none"/>
              </w:rPr>
            </w:pPr>
          </w:p>
        </w:tc>
        <w:tc>
          <w:tcPr>
            <w:tcW w:w="134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2596"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3"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39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c>
          <w:tcPr>
            <w:tcW w:w="1910" w:type="dxa"/>
            <w:tcBorders>
              <w:top w:val="nil"/>
              <w:left w:val="nil"/>
              <w:bottom w:val="nil"/>
              <w:right w:val="nil"/>
            </w:tcBorders>
            <w:shd w:val="clear" w:color="auto" w:fill="auto"/>
            <w:noWrap/>
            <w:vAlign w:val="center"/>
            <w:hideMark/>
          </w:tcPr>
          <w:p w:rsidR="00E34F1A" w:rsidRPr="00E34F1A" w:rsidRDefault="00E34F1A" w:rsidP="00E34F1A">
            <w:pPr>
              <w:spacing w:after="0" w:line="240" w:lineRule="auto"/>
              <w:rPr>
                <w:rFonts w:ascii="Times New Roman" w:eastAsia="Times New Roman" w:hAnsi="Times New Roman" w:cs="Times New Roman"/>
                <w:kern w:val="0"/>
                <w:sz w:val="20"/>
                <w:szCs w:val="20"/>
                <w14:ligatures w14:val="none"/>
              </w:rPr>
            </w:pPr>
          </w:p>
        </w:tc>
      </w:tr>
      <w:tr w:rsidR="00E34F1A" w:rsidRPr="00E34F1A" w:rsidTr="00E34F1A">
        <w:trPr>
          <w:trHeight w:val="264"/>
        </w:trPr>
        <w:tc>
          <w:tcPr>
            <w:tcW w:w="9980" w:type="dxa"/>
            <w:gridSpan w:val="6"/>
            <w:tcBorders>
              <w:top w:val="single" w:sz="4" w:space="0" w:color="000000"/>
              <w:left w:val="single" w:sz="4" w:space="0" w:color="000000"/>
              <w:bottom w:val="single" w:sz="4" w:space="0" w:color="000000"/>
              <w:right w:val="single" w:sz="4" w:space="0" w:color="000000"/>
            </w:tcBorders>
            <w:shd w:val="clear" w:color="FFF2CC" w:fill="FFF2CC"/>
            <w:vAlign w:val="center"/>
            <w:hideMark/>
          </w:tcPr>
          <w:p w:rsidR="00E34F1A" w:rsidRPr="00E34F1A" w:rsidRDefault="00E34F1A" w:rsidP="00E34F1A">
            <w:pPr>
              <w:spacing w:after="240" w:line="240" w:lineRule="auto"/>
              <w:rPr>
                <w:rFonts w:ascii="Times New Roman" w:eastAsia="Times New Roman" w:hAnsi="Times New Roman" w:cs="Times New Roman"/>
                <w:b/>
                <w:bCs/>
                <w:color w:val="000000"/>
                <w:kern w:val="0"/>
                <w:sz w:val="24"/>
                <w:szCs w:val="24"/>
                <w14:ligatures w14:val="none"/>
              </w:rPr>
            </w:pPr>
            <w:r w:rsidRPr="00E34F1A">
              <w:rPr>
                <w:rFonts w:ascii="Times New Roman" w:eastAsia="Times New Roman" w:hAnsi="Times New Roman" w:cs="Times New Roman"/>
                <w:b/>
                <w:bCs/>
                <w:color w:val="000000"/>
                <w:kern w:val="0"/>
                <w:sz w:val="24"/>
                <w:szCs w:val="24"/>
                <w14:ligatures w14:val="none"/>
              </w:rPr>
              <w:t>Ghi chú:</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1. Các loại phí liên quan đến hoạt động cho vay không thuộc đối tượng chịu thuế giá trị gia tăng theo quy định tại Thông tư số 219/2013/TT-BTC ngày 31/12/2013 của Bộ Tài Chính về hướng dẫn thi hành Luật thuế giá trị gia tăng và Nghị định số 209/2013/NĐ-CP ngày 18/12/2013 của Chính phủ quy định chi tiết và hướng dẫn thi hành một số điều luật thuế GTGT.</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2. Việc tính phí liên quan đến hoạt động cho vay thực hiện theo quy định tại Điều 12 Quy định số 2268/QyĐ-NHNo-TD ngày 19/9/2023 của Tổng Giám đốc về Quy định cho vay đối với khách hàng trong hệ thống Agribank. (chưa rõ)</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3. Đối với phí trả nợ trước hạn </w:t>
            </w:r>
            <w:r w:rsidRPr="00E34F1A">
              <w:rPr>
                <w:rFonts w:ascii="Times New Roman" w:eastAsia="Times New Roman" w:hAnsi="Times New Roman" w:cs="Times New Roman"/>
                <w:b/>
                <w:bCs/>
                <w:color w:val="000000"/>
                <w:kern w:val="0"/>
                <w:sz w:val="24"/>
                <w:szCs w:val="24"/>
                <w14:ligatures w14:val="none"/>
              </w:rPr>
              <w:br/>
              <w:t xml:space="preserve">    a) Tỷ lệ phí, mức phí trả nợ trước hạn quy định tại mã phí LN/1B, LN/1C, LN/1D Biểu phí nêu trên chỉ áp dụng khi khách hàng tất toán khoản vay.</w:t>
            </w:r>
            <w:r w:rsidRPr="00E34F1A">
              <w:rPr>
                <w:rFonts w:ascii="Times New Roman" w:eastAsia="Times New Roman" w:hAnsi="Times New Roman" w:cs="Times New Roman"/>
                <w:b/>
                <w:bCs/>
                <w:color w:val="000000"/>
                <w:kern w:val="0"/>
                <w:sz w:val="24"/>
                <w:szCs w:val="24"/>
                <w14:ligatures w14:val="none"/>
              </w:rPr>
              <w:br/>
              <w:t xml:space="preserve">    b) Không thu phí trả nợ trước hạn đối với các trường hợp: Cho vay bảo đảm bằng giấy tờ có giá, thẻ tiết kiệm do Agribank phát hành; cho vay theo hạn mức tín dụng; thấu chi tài khoản; cho vay thẻ tín dụng; cho vay hộ sản xuất cá nhân thuộc 05 lĩnh vực ưu tiên theo Khoản 2 Điều 13 Thông tư số 39/2016/TT- NHNN ngày 30/12/2016 của Thống đốc NHNN; trả nợ trước hạn đúng số tiền thỏa thuận đối với 01 phân kỳ trong cho vay tiêu dùng; các khoản nợ được cơ cấu thời hạn trả nợ; các trường hợp Agribank chủ động yêu cầu khách hàng trả nợ trước hạn hoặc theo yêu cầu của cơ quan thanh tra, kiểm tra, kiểm toán.</w:t>
            </w:r>
            <w:r w:rsidRPr="00E34F1A">
              <w:rPr>
                <w:rFonts w:ascii="Times New Roman" w:eastAsia="Times New Roman" w:hAnsi="Times New Roman" w:cs="Times New Roman"/>
                <w:b/>
                <w:bCs/>
                <w:color w:val="000000"/>
                <w:kern w:val="0"/>
                <w:sz w:val="24"/>
                <w:szCs w:val="24"/>
                <w14:ligatures w14:val="none"/>
              </w:rPr>
              <w:br/>
              <w:t xml:space="preserve">    c) Các trường hợp khác, giao cho Giám đốc chi nhánh loại I căn cứ đặc điểm từng địa bàn và khách hàng vay vốn quyết định không thu/thu theo tỷ lệ thu, mức thu phù hợp, cụ thể: </w:t>
            </w:r>
            <w:r w:rsidRPr="00E34F1A">
              <w:rPr>
                <w:rFonts w:ascii="Times New Roman" w:eastAsia="Times New Roman" w:hAnsi="Times New Roman" w:cs="Times New Roman"/>
                <w:b/>
                <w:bCs/>
                <w:color w:val="000000"/>
                <w:kern w:val="0"/>
                <w:sz w:val="24"/>
                <w:szCs w:val="24"/>
                <w14:ligatures w14:val="none"/>
              </w:rPr>
              <w:br/>
              <w:t xml:space="preserve">    - Trả nợ trước hạn đối với nhiều phân kỳ trong cho vay tiêu dùng; </w:t>
            </w:r>
            <w:r w:rsidRPr="00E34F1A">
              <w:rPr>
                <w:rFonts w:ascii="Times New Roman" w:eastAsia="Times New Roman" w:hAnsi="Times New Roman" w:cs="Times New Roman"/>
                <w:b/>
                <w:bCs/>
                <w:color w:val="000000"/>
                <w:kern w:val="0"/>
                <w:sz w:val="24"/>
                <w:szCs w:val="24"/>
                <w14:ligatures w14:val="none"/>
              </w:rPr>
              <w:br/>
              <w:t xml:space="preserve">    - Trả nợ trước hạn đối với số tiền cùa từng phân kỳ trong cho vay theo dự án trung, dài hạn có phân kỳ trả nợ và các trường hợp khác theo quy định.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4. Phí trả cho hạn mức tín dụng dự phòng: Thu ngay khi ký kết hợp đồng hạn mức tín dụng dự phòng với khách hàng (bao gồm cả trường hợp khách hàng không sử dụng hạn mức tín dụng dự phòng được cấp).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5. Phí thu xếp cho vay hợp vốn: Thu khi Agribank là đầu mối thu xếp các dự án cho vay hợp </w:t>
            </w:r>
            <w:r w:rsidRPr="00E34F1A">
              <w:rPr>
                <w:rFonts w:ascii="Times New Roman" w:eastAsia="Times New Roman" w:hAnsi="Times New Roman" w:cs="Times New Roman"/>
                <w:b/>
                <w:bCs/>
                <w:color w:val="000000"/>
                <w:kern w:val="0"/>
                <w:sz w:val="24"/>
                <w:szCs w:val="24"/>
                <w14:ligatures w14:val="none"/>
              </w:rPr>
              <w:lastRenderedPageBreak/>
              <w:t xml:space="preserve">vốn, thu phí một lần vào ngày ký HĐTD/ngày giải ngân đầu tiên. </w:t>
            </w:r>
            <w:r w:rsidRPr="00E34F1A">
              <w:rPr>
                <w:rFonts w:ascii="Times New Roman" w:eastAsia="Times New Roman" w:hAnsi="Times New Roman" w:cs="Times New Roman"/>
                <w:b/>
                <w:bCs/>
                <w:color w:val="000000"/>
                <w:kern w:val="0"/>
                <w:sz w:val="24"/>
                <w:szCs w:val="24"/>
                <w14:ligatures w14:val="none"/>
              </w:rPr>
              <w:br/>
            </w:r>
            <w:r w:rsidRPr="00E34F1A">
              <w:rPr>
                <w:rFonts w:ascii="Times New Roman" w:eastAsia="Times New Roman" w:hAnsi="Times New Roman" w:cs="Times New Roman"/>
                <w:b/>
                <w:bCs/>
                <w:color w:val="000000"/>
                <w:kern w:val="0"/>
                <w:sz w:val="24"/>
                <w:szCs w:val="24"/>
                <w14:ligatures w14:val="none"/>
              </w:rPr>
              <w:br/>
              <w:t xml:space="preserve">    6. Các loại phí liên quan đến hoạt động cho vay phải được thỏa thuận với khách hàng và ghi rõ trong Hợp đồng tín dụng; là một nội dung để chi nhánh đàm phán với khách hàng trước khi ký kết hợp đồng tín dụng. </w:t>
            </w:r>
          </w:p>
        </w:tc>
      </w:tr>
    </w:tbl>
    <w:p w:rsidR="00C1293D" w:rsidRDefault="00C1293D">
      <w:bookmarkStart w:id="0" w:name="_GoBack"/>
      <w:bookmarkEnd w:id="0"/>
    </w:p>
    <w:sectPr w:rsidR="00C12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1A"/>
    <w:rsid w:val="0016682A"/>
    <w:rsid w:val="00C1293D"/>
    <w:rsid w:val="00DF4CEE"/>
    <w:rsid w:val="00E34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CAA8DA-327F-442A-82E9-1244C84A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34F1A"/>
    <w:rPr>
      <w:color w:val="1155CC"/>
      <w:u w:val="single"/>
    </w:rPr>
  </w:style>
  <w:style w:type="character" w:styleId="FollowedHyperlink">
    <w:name w:val="FollowedHyperlink"/>
    <w:basedOn w:val="DefaultParagraphFont"/>
    <w:uiPriority w:val="99"/>
    <w:semiHidden/>
    <w:unhideWhenUsed/>
    <w:rsid w:val="00E34F1A"/>
    <w:rPr>
      <w:color w:val="1155CC"/>
      <w:u w:val="single"/>
    </w:rPr>
  </w:style>
  <w:style w:type="paragraph" w:customStyle="1" w:styleId="msonormal0">
    <w:name w:val="msonormal"/>
    <w:basedOn w:val="Normal"/>
    <w:rsid w:val="00E34F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3">
    <w:name w:val="xl63"/>
    <w:basedOn w:val="Normal"/>
    <w:rsid w:val="00E34F1A"/>
    <w:pPr>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64">
    <w:name w:val="xl64"/>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65">
    <w:name w:val="xl65"/>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66">
    <w:name w:val="xl66"/>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67">
    <w:name w:val="xl67"/>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68">
    <w:name w:val="xl68"/>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69">
    <w:name w:val="xl69"/>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70">
    <w:name w:val="xl70"/>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1">
    <w:name w:val="xl71"/>
    <w:basedOn w:val="Normal"/>
    <w:rsid w:val="00E34F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quot;Times New Roman&quot;" w:eastAsia="Times New Roman" w:hAnsi="&quot;Times New Roman&quot;" w:cs="Times New Roman"/>
      <w:color w:val="000000"/>
      <w:kern w:val="0"/>
      <w:sz w:val="24"/>
      <w:szCs w:val="24"/>
      <w14:ligatures w14:val="none"/>
    </w:rPr>
  </w:style>
  <w:style w:type="paragraph" w:customStyle="1" w:styleId="xl72">
    <w:name w:val="xl72"/>
    <w:basedOn w:val="Normal"/>
    <w:rsid w:val="00E34F1A"/>
    <w:pPr>
      <w:spacing w:before="100" w:beforeAutospacing="1" w:after="100" w:afterAutospacing="1" w:line="240" w:lineRule="auto"/>
      <w:jc w:val="center"/>
      <w:textAlignment w:val="center"/>
    </w:pPr>
    <w:rPr>
      <w:rFonts w:ascii="&quot;Times New Roman&quot;" w:eastAsia="Times New Roman" w:hAnsi="&quot;Times New Roman&quot;" w:cs="Times New Roman"/>
      <w:color w:val="000000"/>
      <w:kern w:val="0"/>
      <w:sz w:val="24"/>
      <w:szCs w:val="24"/>
      <w14:ligatures w14:val="none"/>
    </w:rPr>
  </w:style>
  <w:style w:type="paragraph" w:customStyle="1" w:styleId="xl73">
    <w:name w:val="xl73"/>
    <w:basedOn w:val="Normal"/>
    <w:rsid w:val="00E34F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74">
    <w:name w:val="xl74"/>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i/>
      <w:iCs/>
      <w:kern w:val="0"/>
      <w:sz w:val="24"/>
      <w:szCs w:val="24"/>
      <w14:ligatures w14:val="none"/>
    </w:rPr>
  </w:style>
  <w:style w:type="paragraph" w:customStyle="1" w:styleId="xl75">
    <w:name w:val="xl75"/>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14:ligatures w14:val="none"/>
    </w:rPr>
  </w:style>
  <w:style w:type="paragraph" w:customStyle="1" w:styleId="xl76">
    <w:name w:val="xl76"/>
    <w:basedOn w:val="Normal"/>
    <w:rsid w:val="00E34F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77">
    <w:name w:val="xl77"/>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78">
    <w:name w:val="xl78"/>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79">
    <w:name w:val="xl79"/>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80">
    <w:name w:val="xl80"/>
    <w:basedOn w:val="Normal"/>
    <w:rsid w:val="00E34F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mbria" w:eastAsia="Times New Roman" w:hAnsi="Cambria" w:cs="Times New Roman"/>
      <w:kern w:val="0"/>
      <w:sz w:val="24"/>
      <w:szCs w:val="24"/>
      <w14:ligatures w14:val="none"/>
    </w:rPr>
  </w:style>
  <w:style w:type="paragraph" w:customStyle="1" w:styleId="xl81">
    <w:name w:val="xl81"/>
    <w:basedOn w:val="Normal"/>
    <w:rsid w:val="00E34F1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82">
    <w:name w:val="xl82"/>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83">
    <w:name w:val="xl83"/>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ascii="&quot;Times New Roman&quot;" w:eastAsia="Times New Roman" w:hAnsi="&quot;Times New Roman&quot;" w:cs="Times New Roman"/>
      <w:kern w:val="0"/>
      <w:sz w:val="24"/>
      <w:szCs w:val="24"/>
      <w14:ligatures w14:val="none"/>
    </w:rPr>
  </w:style>
  <w:style w:type="paragraph" w:customStyle="1" w:styleId="xl84">
    <w:name w:val="xl84"/>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85">
    <w:name w:val="xl85"/>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kern w:val="0"/>
      <w:sz w:val="24"/>
      <w:szCs w:val="24"/>
      <w14:ligatures w14:val="none"/>
    </w:rPr>
  </w:style>
  <w:style w:type="paragraph" w:customStyle="1" w:styleId="xl86">
    <w:name w:val="xl86"/>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right"/>
      <w:textAlignment w:val="center"/>
    </w:pPr>
    <w:rPr>
      <w:rFonts w:ascii="&quot;Times New Roman&quot;" w:eastAsia="Times New Roman" w:hAnsi="&quot;Times New Roman&quot;" w:cs="Times New Roman"/>
      <w:kern w:val="0"/>
      <w:sz w:val="24"/>
      <w:szCs w:val="24"/>
      <w14:ligatures w14:val="none"/>
    </w:rPr>
  </w:style>
  <w:style w:type="paragraph" w:customStyle="1" w:styleId="xl87">
    <w:name w:val="xl87"/>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b/>
      <w:bCs/>
      <w:kern w:val="0"/>
      <w:sz w:val="24"/>
      <w:szCs w:val="24"/>
      <w14:ligatures w14:val="none"/>
    </w:rPr>
  </w:style>
  <w:style w:type="paragraph" w:customStyle="1" w:styleId="xl88">
    <w:name w:val="xl88"/>
    <w:basedOn w:val="Normal"/>
    <w:rsid w:val="00E34F1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i/>
      <w:iCs/>
      <w:kern w:val="0"/>
      <w:sz w:val="24"/>
      <w:szCs w:val="24"/>
      <w14:ligatures w14:val="none"/>
    </w:rPr>
  </w:style>
  <w:style w:type="paragraph" w:customStyle="1" w:styleId="xl89">
    <w:name w:val="xl89"/>
    <w:basedOn w:val="Normal"/>
    <w:rsid w:val="00E34F1A"/>
    <w:pPr>
      <w:spacing w:before="100" w:beforeAutospacing="1" w:after="100" w:afterAutospacing="1" w:line="240" w:lineRule="auto"/>
      <w:jc w:val="center"/>
    </w:pPr>
    <w:rPr>
      <w:rFonts w:ascii="&quot;Times New Roman&quot;" w:eastAsia="Times New Roman" w:hAnsi="&quot;Times New Roman&quot;" w:cs="Times New Roman"/>
      <w:color w:val="000000"/>
      <w:kern w:val="0"/>
      <w:sz w:val="24"/>
      <w:szCs w:val="24"/>
      <w14:ligatures w14:val="none"/>
    </w:rPr>
  </w:style>
  <w:style w:type="paragraph" w:customStyle="1" w:styleId="xl90">
    <w:name w:val="xl90"/>
    <w:basedOn w:val="Normal"/>
    <w:rsid w:val="00E34F1A"/>
    <w:pPr>
      <w:pBdr>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91">
    <w:name w:val="xl91"/>
    <w:basedOn w:val="Normal"/>
    <w:rsid w:val="00E34F1A"/>
    <w:pPr>
      <w:pBdr>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92">
    <w:name w:val="xl92"/>
    <w:basedOn w:val="Normal"/>
    <w:rsid w:val="00E34F1A"/>
    <w:pPr>
      <w:pBdr>
        <w:top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3">
    <w:name w:val="xl93"/>
    <w:basedOn w:val="Normal"/>
    <w:rsid w:val="00E34F1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94">
    <w:name w:val="xl94"/>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quot;Times New Roman&quot;" w:eastAsia="Times New Roman" w:hAnsi="&quot;Times New Roman&quot;" w:cs="Times New Roman"/>
      <w:i/>
      <w:iCs/>
      <w:kern w:val="0"/>
      <w:sz w:val="24"/>
      <w:szCs w:val="24"/>
      <w14:ligatures w14:val="none"/>
    </w:rPr>
  </w:style>
  <w:style w:type="paragraph" w:customStyle="1" w:styleId="xl95">
    <w:name w:val="xl95"/>
    <w:basedOn w:val="Normal"/>
    <w:rsid w:val="00E34F1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i/>
      <w:iCs/>
      <w:kern w:val="0"/>
      <w:sz w:val="24"/>
      <w:szCs w:val="24"/>
      <w14:ligatures w14:val="none"/>
    </w:rPr>
  </w:style>
  <w:style w:type="paragraph" w:customStyle="1" w:styleId="xl96">
    <w:name w:val="xl96"/>
    <w:basedOn w:val="Normal"/>
    <w:rsid w:val="00E34F1A"/>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quot;Times New Roman&quot;" w:eastAsia="Times New Roman" w:hAnsi="&quot;Times New Roman&quot;" w:cs="Times New Roman"/>
      <w:kern w:val="0"/>
      <w:sz w:val="24"/>
      <w:szCs w:val="24"/>
      <w14:ligatures w14:val="none"/>
    </w:rPr>
  </w:style>
  <w:style w:type="paragraph" w:customStyle="1" w:styleId="xl97">
    <w:name w:val="xl97"/>
    <w:basedOn w:val="Normal"/>
    <w:rsid w:val="00E34F1A"/>
    <w:pPr>
      <w:shd w:val="clear" w:color="FFF2CC" w:fill="FFF2CC"/>
      <w:spacing w:before="100" w:beforeAutospacing="1" w:after="100" w:afterAutospacing="1" w:line="240" w:lineRule="auto"/>
      <w:textAlignment w:val="center"/>
    </w:pPr>
    <w:rPr>
      <w:rFonts w:ascii="Times New Roman" w:eastAsia="Times New Roman" w:hAnsi="Times New Roman" w:cs="Times New Roman"/>
      <w:b/>
      <w:bCs/>
      <w:kern w:val="0"/>
      <w:sz w:val="24"/>
      <w:szCs w:val="24"/>
      <w14:ligatures w14:val="none"/>
    </w:rPr>
  </w:style>
  <w:style w:type="paragraph" w:customStyle="1" w:styleId="xl98">
    <w:name w:val="xl98"/>
    <w:basedOn w:val="Normal"/>
    <w:rsid w:val="00E34F1A"/>
    <w:pPr>
      <w:pBdr>
        <w:top w:val="single" w:sz="4" w:space="0" w:color="000000"/>
        <w:left w:val="single" w:sz="4" w:space="0" w:color="000000"/>
        <w:bottom w:val="single" w:sz="4" w:space="0" w:color="000000"/>
      </w:pBdr>
      <w:shd w:val="clear" w:color="EA9999" w:fill="EA9999"/>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8"/>
      <w:szCs w:val="28"/>
      <w14:ligatures w14:val="none"/>
    </w:rPr>
  </w:style>
  <w:style w:type="paragraph" w:customStyle="1" w:styleId="xl99">
    <w:name w:val="xl99"/>
    <w:basedOn w:val="Normal"/>
    <w:rsid w:val="00E34F1A"/>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100">
    <w:name w:val="xl100"/>
    <w:basedOn w:val="Normal"/>
    <w:rsid w:val="00E34F1A"/>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1">
    <w:name w:val="xl101"/>
    <w:basedOn w:val="Normal"/>
    <w:rsid w:val="00E34F1A"/>
    <w:pPr>
      <w:pBdr>
        <w:top w:val="single" w:sz="4" w:space="0" w:color="000000"/>
        <w:left w:val="single" w:sz="4" w:space="0" w:color="000000"/>
        <w:bottom w:val="single" w:sz="4" w:space="0" w:color="000000"/>
      </w:pBdr>
      <w:shd w:val="clear" w:color="FFF2CC" w:fill="FFF2CC"/>
      <w:spacing w:before="100" w:beforeAutospacing="1" w:after="100" w:afterAutospacing="1" w:line="240" w:lineRule="auto"/>
      <w:textAlignment w:val="center"/>
    </w:pPr>
    <w:rPr>
      <w:rFonts w:ascii="Times New Roman" w:eastAsia="Times New Roman" w:hAnsi="Times New Roman" w:cs="Times New Roman"/>
      <w:b/>
      <w:bCs/>
      <w:kern w:val="0"/>
      <w:sz w:val="24"/>
      <w:szCs w:val="24"/>
      <w14:ligatures w14:val="none"/>
    </w:rPr>
  </w:style>
  <w:style w:type="paragraph" w:customStyle="1" w:styleId="xl102">
    <w:name w:val="xl102"/>
    <w:basedOn w:val="Normal"/>
    <w:rsid w:val="00E34F1A"/>
    <w:pPr>
      <w:shd w:val="clear" w:color="EA9999" w:fill="EA9999"/>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8"/>
      <w:szCs w:val="28"/>
      <w14:ligatures w14:val="none"/>
    </w:rPr>
  </w:style>
  <w:style w:type="paragraph" w:customStyle="1" w:styleId="xl103">
    <w:name w:val="xl103"/>
    <w:basedOn w:val="Normal"/>
    <w:rsid w:val="00E34F1A"/>
    <w:pPr>
      <w:pBdr>
        <w:top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4"/>
      <w:szCs w:val="24"/>
      <w14:ligatures w14:val="none"/>
    </w:rPr>
  </w:style>
  <w:style w:type="paragraph" w:customStyle="1" w:styleId="xl104">
    <w:name w:val="xl104"/>
    <w:basedOn w:val="Normal"/>
    <w:rsid w:val="00E34F1A"/>
    <w:pPr>
      <w:pBdr>
        <w:top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105">
    <w:name w:val="xl105"/>
    <w:basedOn w:val="Normal"/>
    <w:rsid w:val="00E34F1A"/>
    <w:pPr>
      <w:pBdr>
        <w:top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6">
    <w:name w:val="xl106"/>
    <w:basedOn w:val="Normal"/>
    <w:rsid w:val="00E34F1A"/>
    <w:pPr>
      <w:pBdr>
        <w:bottom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7">
    <w:name w:val="xl107"/>
    <w:basedOn w:val="Normal"/>
    <w:rsid w:val="00E34F1A"/>
    <w:pPr>
      <w:pBdr>
        <w:left w:val="single" w:sz="4" w:space="0" w:color="000000"/>
        <w:bottom w:val="single" w:sz="4" w:space="0" w:color="000000"/>
      </w:pBdr>
      <w:shd w:val="clear" w:color="EA9999" w:fill="EA9999"/>
      <w:spacing w:before="100" w:beforeAutospacing="1" w:after="100" w:afterAutospacing="1" w:line="240" w:lineRule="auto"/>
      <w:jc w:val="center"/>
      <w:textAlignment w:val="center"/>
    </w:pPr>
    <w:rPr>
      <w:rFonts w:ascii="&quot;Times New Roman&quot;" w:eastAsia="Times New Roman" w:hAnsi="&quot;Times New Roman&quot;" w:cs="Times New Roman"/>
      <w:b/>
      <w:bCs/>
      <w:kern w:val="0"/>
      <w:sz w:val="28"/>
      <w:szCs w:val="28"/>
      <w14:ligatures w14:val="none"/>
    </w:rPr>
  </w:style>
  <w:style w:type="paragraph" w:customStyle="1" w:styleId="xl108">
    <w:name w:val="xl108"/>
    <w:basedOn w:val="Normal"/>
    <w:rsid w:val="00E34F1A"/>
    <w:pPr>
      <w:pBdr>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109">
    <w:name w:val="xl109"/>
    <w:basedOn w:val="Normal"/>
    <w:rsid w:val="00E34F1A"/>
    <w:pPr>
      <w:pBdr>
        <w:top w:val="single" w:sz="4" w:space="0" w:color="000000"/>
        <w:left w:val="single" w:sz="4" w:space="0" w:color="000000"/>
        <w:bottom w:val="single" w:sz="4" w:space="0" w:color="000000"/>
      </w:pBdr>
      <w:shd w:val="clear" w:color="EA9999" w:fill="EA9999"/>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088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8458</Words>
  <Characters>48211</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2025-11-09T15:29:00Z</dcterms:created>
  <dcterms:modified xsi:type="dcterms:W3CDTF">2025-11-09T15:30:00Z</dcterms:modified>
</cp:coreProperties>
</file>