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cho vay ưu đãi tài trợ Dự án đầu tư </w:t>
      </w:r>
    </w:p>
    <w:p w:rsidR="00000000" w:rsidDel="00000000" w:rsidP="00000000" w:rsidRDefault="00000000" w:rsidRPr="00000000" w14:paraId="00000004">
      <w:pPr>
        <w:spacing w:after="0" w:line="240" w:lineRule="auto"/>
        <w:jc w:val="center"/>
        <w:rPr>
          <w:b w:val="1"/>
          <w:color w:val="ffff00"/>
          <w:sz w:val="40"/>
          <w:szCs w:val="40"/>
        </w:rPr>
      </w:pPr>
      <w:r w:rsidDel="00000000" w:rsidR="00000000" w:rsidRPr="00000000">
        <w:rPr>
          <w:b w:val="1"/>
          <w:color w:val="ffff00"/>
          <w:sz w:val="40"/>
          <w:szCs w:val="40"/>
          <w:rtl w:val="0"/>
        </w:rPr>
        <w:t xml:space="preserve">đối với KHPN</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(VB 2929/NHNo.BTPHCM-KHQLRR; VB 1456/NHNo.BTPHCM-KHQLRR</w:t>
      </w:r>
    </w:p>
    <w:p w:rsidR="00000000" w:rsidDel="00000000" w:rsidP="00000000" w:rsidRDefault="00000000" w:rsidRPr="00000000" w14:paraId="00000006">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12/08/2025)</w:t>
      </w:r>
    </w:p>
    <w:p w:rsidR="00000000" w:rsidDel="00000000" w:rsidP="00000000" w:rsidRDefault="00000000" w:rsidRPr="00000000" w14:paraId="00000007">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8">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w:t>
      </w:r>
      <w:r w:rsidDel="00000000" w:rsidR="00000000" w:rsidRPr="00000000">
        <w:rPr>
          <w:color w:val="ffffff"/>
          <w:sz w:val="30"/>
          <w:szCs w:val="30"/>
          <w:rtl w:val="0"/>
        </w:rPr>
        <w:t xml:space="preserve"> từ ngày</w:t>
      </w:r>
      <w:r w:rsidDel="00000000" w:rsidR="00000000" w:rsidRPr="00000000">
        <w:rPr>
          <w:sz w:val="30"/>
          <w:szCs w:val="30"/>
          <w:rtl w:val="0"/>
        </w:rPr>
        <w:t xml:space="preserve"> </w:t>
      </w:r>
      <w:r w:rsidDel="00000000" w:rsidR="00000000" w:rsidRPr="00000000">
        <w:rPr>
          <w:color w:val="ffff00"/>
          <w:sz w:val="30"/>
          <w:szCs w:val="30"/>
          <w:rtl w:val="0"/>
        </w:rPr>
        <w:t xml:space="preserve">01/01/2025 đến hết ngày 31/12/2025</w:t>
      </w:r>
      <w:r w:rsidDel="00000000" w:rsidR="00000000" w:rsidRPr="00000000">
        <w:rPr>
          <w:color w:val="ffffff"/>
          <w:sz w:val="30"/>
          <w:szCs w:val="30"/>
          <w:rtl w:val="0"/>
        </w:rPr>
        <w:t xml:space="preserve">. Chương trình có thể kết thúc trước thời hạn hoặc gia hạn thời gian theo thông báo của Tổng Giám đốc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2. Đối tượng áp dụng: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Khách hàng pháp nhân có dự án vay vốn trung dài hạn.</w:t>
      </w:r>
    </w:p>
    <w:p w:rsidR="00000000" w:rsidDel="00000000" w:rsidP="00000000" w:rsidRDefault="00000000" w:rsidRPr="00000000" w14:paraId="0000000A">
      <w:pPr>
        <w:spacing w:after="0" w:line="269" w:lineRule="auto"/>
        <w:ind w:firstLine="567"/>
        <w:jc w:val="both"/>
        <w:rPr>
          <w:color w:val="ffffff"/>
          <w:sz w:val="30"/>
          <w:szCs w:val="30"/>
        </w:rPr>
      </w:pPr>
      <w:r w:rsidDel="00000000" w:rsidR="00000000" w:rsidRPr="00000000">
        <w:rPr>
          <w:b w:val="1"/>
          <w:color w:val="ffff00"/>
          <w:sz w:val="30"/>
          <w:szCs w:val="30"/>
          <w:rtl w:val="0"/>
        </w:rPr>
        <w:t xml:space="preserve">3. Điều kiện đối với dự án: </w:t>
      </w:r>
      <w:r w:rsidDel="00000000" w:rsidR="00000000" w:rsidRPr="00000000">
        <w:rPr>
          <w:color w:val="ffffff"/>
          <w:sz w:val="30"/>
          <w:szCs w:val="30"/>
          <w:rtl w:val="0"/>
        </w:rPr>
        <w:t xml:space="preserve">Dự án đáp ứng đồng thời các điều kiện sau:</w:t>
      </w:r>
    </w:p>
    <w:p w:rsidR="00000000" w:rsidDel="00000000" w:rsidP="00000000" w:rsidRDefault="00000000" w:rsidRPr="00000000" w14:paraId="0000000B">
      <w:pPr>
        <w:spacing w:after="0" w:line="269" w:lineRule="auto"/>
        <w:ind w:firstLine="567"/>
        <w:jc w:val="both"/>
        <w:rPr>
          <w:color w:val="ffffff"/>
          <w:sz w:val="30"/>
          <w:szCs w:val="30"/>
        </w:rPr>
      </w:pPr>
      <w:r w:rsidDel="00000000" w:rsidR="00000000" w:rsidRPr="00000000">
        <w:rPr>
          <w:color w:val="ffffff"/>
          <w:sz w:val="30"/>
          <w:szCs w:val="30"/>
          <w:rtl w:val="0"/>
        </w:rPr>
        <w:t xml:space="preserve">a) Thuộc các ngành nghề: Chế biến chế tạo; Sản xuất và phân phối điện, khí đốt (các dự án nguồn điện); Vận tải kho bãi; Xây dựng cơ sở hạ tầng phục vụ sản xuất kinh doanh, xây dựng khu công nghiệp, khu chế xuất; Dự án đầu tư xây dựng và kinh doanh kết cấu hạ tầng khu công nghiệp/cụm công nghiệp, xây dựng nhà xưởng, văn phòng, kho bãi cho thuê, cho vay đầu tư trang trại cho thuê; Nhà hàng và các dịch vụ ăn uống phục vụ lưu động; Y tế, giáo dục; Dự án ngành nước; Dự án thuộc các lĩnh vực xanh. </w:t>
      </w:r>
    </w:p>
    <w:p w:rsidR="00000000" w:rsidDel="00000000" w:rsidP="00000000" w:rsidRDefault="00000000" w:rsidRPr="00000000" w14:paraId="0000000C">
      <w:pPr>
        <w:spacing w:after="0" w:line="269" w:lineRule="auto"/>
        <w:ind w:firstLine="567"/>
        <w:jc w:val="both"/>
        <w:rPr>
          <w:color w:val="ffffff"/>
          <w:sz w:val="30"/>
          <w:szCs w:val="30"/>
        </w:rPr>
      </w:pPr>
      <w:r w:rsidDel="00000000" w:rsidR="00000000" w:rsidRPr="00000000">
        <w:rPr>
          <w:color w:val="ffffff"/>
          <w:sz w:val="30"/>
          <w:szCs w:val="30"/>
          <w:rtl w:val="0"/>
        </w:rPr>
        <w:t xml:space="preserve">Mã ngành đối với từng giải ngân của dự án được đăng ký trên IPCAS chi tiết theo mục II, Phụ lục Văn bản 19799/NHNo-KHDN ngày 26/12/2024.</w:t>
      </w:r>
    </w:p>
    <w:p w:rsidR="00000000" w:rsidDel="00000000" w:rsidP="00000000" w:rsidRDefault="00000000" w:rsidRPr="00000000" w14:paraId="0000000D">
      <w:pPr>
        <w:spacing w:after="0" w:line="269" w:lineRule="auto"/>
        <w:ind w:firstLine="567"/>
        <w:jc w:val="both"/>
        <w:rPr>
          <w:color w:val="ffffff"/>
          <w:sz w:val="30"/>
          <w:szCs w:val="30"/>
        </w:rPr>
      </w:pPr>
      <w:r w:rsidDel="00000000" w:rsidR="00000000" w:rsidRPr="00000000">
        <w:rPr>
          <w:color w:val="ffffff"/>
          <w:sz w:val="30"/>
          <w:szCs w:val="30"/>
          <w:rtl w:val="0"/>
        </w:rPr>
        <w:t xml:space="preserve">b) Được đánh giá là khả thi, hiệu quả và được cấp có thẩm quyền phê duyệt cấp tín dụng; tuân thủ, đáp ứng các điều kiện giải ngân theo Thông báo phê duyệt cấp tín dụng và các thỏa thuận tại Hợp đồng tín dụng.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Đồng tiền giải ngân: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Việt Nam đồng (VND)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Thời hạn cho vay:</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Trung, dài hạn.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6. Lãi suất cho vay:</w:t>
      </w:r>
    </w:p>
    <w:tbl>
      <w:tblPr>
        <w:tblStyle w:val="Table1"/>
        <w:tblW w:w="10206.0" w:type="dxa"/>
        <w:jc w:val="left"/>
        <w:tblInd w:w="-6.999999999999993" w:type="dxa"/>
        <w:tblLayout w:type="fixed"/>
        <w:tblLook w:val="0400"/>
      </w:tblPr>
      <w:tblGrid>
        <w:gridCol w:w="785"/>
        <w:gridCol w:w="6870"/>
        <w:gridCol w:w="2551"/>
        <w:tblGridChange w:id="0">
          <w:tblGrid>
            <w:gridCol w:w="785"/>
            <w:gridCol w:w="6870"/>
            <w:gridCol w:w="2551"/>
          </w:tblGrid>
        </w:tblGridChange>
      </w:tblGrid>
      <w:tr>
        <w:trPr>
          <w:cantSplit w:val="0"/>
          <w:trHeight w:val="402"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spacing w:after="0" w:line="240" w:lineRule="auto"/>
              <w:jc w:val="center"/>
              <w:rPr>
                <w:b w:val="1"/>
                <w:color w:val="c00000"/>
                <w:sz w:val="30"/>
                <w:szCs w:val="30"/>
              </w:rPr>
            </w:pPr>
            <w:r w:rsidDel="00000000" w:rsidR="00000000" w:rsidRPr="00000000">
              <w:rPr>
                <w:b w:val="1"/>
                <w:color w:val="c00000"/>
                <w:sz w:val="30"/>
                <w:szCs w:val="30"/>
                <w:rtl w:val="0"/>
              </w:rPr>
              <w:t xml:space="preserve">STT</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b w:val="1"/>
                <w:color w:val="c00000"/>
                <w:sz w:val="30"/>
                <w:szCs w:val="30"/>
              </w:rPr>
            </w:pPr>
            <w:r w:rsidDel="00000000" w:rsidR="00000000" w:rsidRPr="00000000">
              <w:rPr>
                <w:b w:val="1"/>
                <w:color w:val="c00000"/>
                <w:sz w:val="30"/>
                <w:szCs w:val="30"/>
                <w:rtl w:val="0"/>
              </w:rPr>
              <w:t xml:space="preserve">Đối tượng áp dụng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b w:val="1"/>
                <w:color w:val="c00000"/>
                <w:sz w:val="30"/>
                <w:szCs w:val="30"/>
              </w:rPr>
            </w:pPr>
            <w:r w:rsidDel="00000000" w:rsidR="00000000" w:rsidRPr="00000000">
              <w:rPr>
                <w:b w:val="1"/>
                <w:color w:val="c00000"/>
                <w:sz w:val="30"/>
                <w:szCs w:val="30"/>
                <w:rtl w:val="0"/>
              </w:rPr>
              <w:t xml:space="preserve">Lãi suất (%/năm)</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b w:val="1"/>
                <w:color w:val="c00000"/>
                <w:sz w:val="30"/>
                <w:szCs w:val="30"/>
              </w:rPr>
            </w:pPr>
            <w:r w:rsidDel="00000000" w:rsidR="00000000" w:rsidRPr="00000000">
              <w:rPr>
                <w:b w:val="1"/>
                <w:color w:val="c00000"/>
                <w:sz w:val="30"/>
                <w:szCs w:val="30"/>
                <w:rtl w:val="0"/>
              </w:rPr>
              <w:t xml:space="preserve">Cố định 01 năm</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jc w:val="center"/>
              <w:rPr>
                <w:color w:val="c00000"/>
                <w:sz w:val="30"/>
                <w:szCs w:val="30"/>
              </w:rPr>
            </w:pPr>
            <w:r w:rsidDel="00000000" w:rsidR="00000000" w:rsidRPr="00000000">
              <w:rPr>
                <w:color w:val="c00000"/>
                <w:sz w:val="30"/>
                <w:szCs w:val="3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jc w:val="both"/>
              <w:rPr>
                <w:color w:val="c00000"/>
                <w:sz w:val="30"/>
                <w:szCs w:val="30"/>
              </w:rPr>
            </w:pPr>
            <w:r w:rsidDel="00000000" w:rsidR="00000000" w:rsidRPr="00000000">
              <w:rPr>
                <w:b w:val="1"/>
                <w:color w:val="c00000"/>
                <w:sz w:val="30"/>
                <w:szCs w:val="30"/>
                <w:rtl w:val="0"/>
              </w:rPr>
              <w:t xml:space="preserve">Khách hàng cạnh tranh 1</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đang vay vốn tại các TCTD khác, khách hàng mới vay vốn để thực hiện dự án/mua lại dự án/bù đắp chi phí đầu tư dự án và dự án đã hoàn thành, đi vào hoạt động)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jc w:val="center"/>
              <w:rPr>
                <w:color w:val="c00000"/>
                <w:sz w:val="30"/>
                <w:szCs w:val="30"/>
              </w:rPr>
            </w:pPr>
            <w:r w:rsidDel="00000000" w:rsidR="00000000" w:rsidRPr="00000000">
              <w:rPr>
                <w:color w:val="c00000"/>
                <w:sz w:val="30"/>
                <w:szCs w:val="30"/>
                <w:rtl w:val="0"/>
              </w:rPr>
              <w:t xml:space="preserve">6,0%</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jc w:val="center"/>
              <w:rPr>
                <w:color w:val="c00000"/>
                <w:sz w:val="30"/>
                <w:szCs w:val="30"/>
              </w:rPr>
            </w:pPr>
            <w:r w:rsidDel="00000000" w:rsidR="00000000" w:rsidRPr="00000000">
              <w:rPr>
                <w:color w:val="c00000"/>
                <w:sz w:val="30"/>
                <w:szCs w:val="3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jc w:val="both"/>
              <w:rPr>
                <w:color w:val="c00000"/>
                <w:sz w:val="30"/>
                <w:szCs w:val="30"/>
              </w:rPr>
            </w:pPr>
            <w:r w:rsidDel="00000000" w:rsidR="00000000" w:rsidRPr="00000000">
              <w:rPr>
                <w:b w:val="1"/>
                <w:color w:val="c00000"/>
                <w:sz w:val="30"/>
                <w:szCs w:val="30"/>
                <w:rtl w:val="0"/>
              </w:rPr>
              <w:t xml:space="preserve">Khách hàng cạnh tranh 2*</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đang vay vốn tại Agribank để thực hiện dự án đầu tư và dự án đã hoàn thành, đi vào hoạt động đang bị các TCTD khác cạnh tranh bằng lãi suất ưu đãi - áp dụng cho các giải ngân hiện hữu)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jc w:val="center"/>
              <w:rPr>
                <w:color w:val="c00000"/>
                <w:sz w:val="30"/>
                <w:szCs w:val="30"/>
              </w:rPr>
            </w:pPr>
            <w:r w:rsidDel="00000000" w:rsidR="00000000" w:rsidRPr="00000000">
              <w:rPr>
                <w:color w:val="c00000"/>
                <w:sz w:val="30"/>
                <w:szCs w:val="30"/>
                <w:rtl w:val="0"/>
              </w:rPr>
              <w:t xml:space="preserve">6,0%</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jc w:val="center"/>
              <w:rPr>
                <w:color w:val="c00000"/>
                <w:sz w:val="30"/>
                <w:szCs w:val="30"/>
              </w:rPr>
            </w:pPr>
            <w:r w:rsidDel="00000000" w:rsidR="00000000" w:rsidRPr="00000000">
              <w:rPr>
                <w:color w:val="c00000"/>
                <w:sz w:val="30"/>
                <w:szCs w:val="3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jc w:val="both"/>
              <w:rPr>
                <w:color w:val="c00000"/>
                <w:sz w:val="30"/>
                <w:szCs w:val="30"/>
              </w:rPr>
            </w:pPr>
            <w:r w:rsidDel="00000000" w:rsidR="00000000" w:rsidRPr="00000000">
              <w:rPr>
                <w:b w:val="1"/>
                <w:color w:val="c00000"/>
                <w:sz w:val="30"/>
                <w:szCs w:val="30"/>
                <w:rtl w:val="0"/>
              </w:rPr>
              <w:t xml:space="preserve">Khách hàng ưu tiên 1</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đang vay vốn tại các TCTD khác, khách hàng mới vay vốn để thực hiện dự án/mua lại dự án/bù đắp chi phí đầu tư dự án và dự án chưa hoàn thành, chưa đi vào hoạt động; Khách hàng có dự án đầu tư được Agribank tài trợ vốn chưa giải ngân hoặc chưa giải ngân hết, dự án chưa hoàn thành - áp dụng cho các giải ngân mới)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jc w:val="center"/>
              <w:rPr>
                <w:color w:val="c00000"/>
                <w:sz w:val="30"/>
                <w:szCs w:val="30"/>
              </w:rPr>
            </w:pPr>
            <w:r w:rsidDel="00000000" w:rsidR="00000000" w:rsidRPr="00000000">
              <w:rPr>
                <w:color w:val="c00000"/>
                <w:sz w:val="30"/>
                <w:szCs w:val="30"/>
                <w:rtl w:val="0"/>
              </w:rPr>
              <w:t xml:space="preserve">6,5%</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jc w:val="center"/>
              <w:rPr>
                <w:color w:val="c00000"/>
                <w:sz w:val="30"/>
                <w:szCs w:val="30"/>
              </w:rPr>
            </w:pPr>
            <w:r w:rsidDel="00000000" w:rsidR="00000000" w:rsidRPr="00000000">
              <w:rPr>
                <w:color w:val="c00000"/>
                <w:sz w:val="30"/>
                <w:szCs w:val="30"/>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jc w:val="both"/>
              <w:rPr>
                <w:color w:val="c00000"/>
                <w:sz w:val="30"/>
                <w:szCs w:val="30"/>
              </w:rPr>
            </w:pPr>
            <w:r w:rsidDel="00000000" w:rsidR="00000000" w:rsidRPr="00000000">
              <w:rPr>
                <w:b w:val="1"/>
                <w:color w:val="c00000"/>
                <w:sz w:val="30"/>
                <w:szCs w:val="30"/>
                <w:rtl w:val="0"/>
              </w:rPr>
              <w:t xml:space="preserve">Khách hàng ưu tiên 2*</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đang vay vốn tại Agribank để thực hiện dự án đầu tư mà dự án chưa hoàn thành, chưa đi vào hoạt động và đang bị TCTD khác cạnh tranh bằng lãi suất ưu đãi - áp dụng cho các giải ngân hiện hữu)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jc w:val="center"/>
              <w:rPr>
                <w:color w:val="c00000"/>
                <w:sz w:val="30"/>
                <w:szCs w:val="30"/>
              </w:rPr>
            </w:pPr>
            <w:r w:rsidDel="00000000" w:rsidR="00000000" w:rsidRPr="00000000">
              <w:rPr>
                <w:color w:val="c00000"/>
                <w:sz w:val="30"/>
                <w:szCs w:val="30"/>
                <w:rtl w:val="0"/>
              </w:rPr>
              <w:t xml:space="preserve">6,5%</w:t>
            </w:r>
          </w:p>
        </w:tc>
      </w:tr>
    </w:tbl>
    <w:p w:rsidR="00000000" w:rsidDel="00000000" w:rsidP="00000000" w:rsidRDefault="00000000" w:rsidRPr="00000000" w14:paraId="00000023">
      <w:pPr>
        <w:spacing w:after="0" w:line="269" w:lineRule="auto"/>
        <w:ind w:firstLine="562"/>
        <w:jc w:val="both"/>
        <w:rPr>
          <w:sz w:val="30"/>
          <w:szCs w:val="30"/>
        </w:rPr>
      </w:pPr>
      <w:r w:rsidDel="00000000" w:rsidR="00000000" w:rsidRPr="00000000">
        <w:rPr>
          <w:rtl w:val="0"/>
        </w:rPr>
      </w:r>
    </w:p>
    <w:p w:rsidR="00000000" w:rsidDel="00000000" w:rsidP="00000000" w:rsidRDefault="00000000" w:rsidRPr="00000000" w14:paraId="00000024">
      <w:pPr>
        <w:spacing w:after="0" w:line="269" w:lineRule="auto"/>
        <w:ind w:firstLine="562"/>
        <w:jc w:val="both"/>
        <w:rPr>
          <w:sz w:val="30"/>
          <w:szCs w:val="30"/>
        </w:rPr>
      </w:pPr>
      <w:r w:rsidDel="00000000" w:rsidR="00000000" w:rsidRPr="00000000">
        <w:rPr>
          <w:rtl w:val="0"/>
        </w:rPr>
      </w:r>
    </w:p>
    <w:p w:rsidR="00000000" w:rsidDel="00000000" w:rsidP="00000000" w:rsidRDefault="00000000" w:rsidRPr="00000000" w14:paraId="00000025">
      <w:pPr>
        <w:spacing w:after="0" w:line="269" w:lineRule="auto"/>
        <w:ind w:firstLine="562"/>
        <w:jc w:val="both"/>
        <w:rPr>
          <w:sz w:val="30"/>
          <w:szCs w:val="30"/>
        </w:rPr>
      </w:pPr>
      <w:r w:rsidDel="00000000" w:rsidR="00000000" w:rsidRPr="00000000">
        <w:rPr>
          <w:rtl w:val="0"/>
        </w:rPr>
      </w:r>
    </w:p>
    <w:p w:rsidR="00000000" w:rsidDel="00000000" w:rsidP="00000000" w:rsidRDefault="00000000" w:rsidRPr="00000000" w14:paraId="00000026">
      <w:pPr>
        <w:spacing w:after="0" w:line="269" w:lineRule="auto"/>
        <w:ind w:firstLine="562"/>
        <w:jc w:val="both"/>
        <w:rPr>
          <w:b w:val="1"/>
          <w:color w:val="ffff00"/>
          <w:sz w:val="30"/>
          <w:szCs w:val="30"/>
        </w:rPr>
      </w:pPr>
      <w:r w:rsidDel="00000000" w:rsidR="00000000" w:rsidRPr="00000000">
        <w:rPr>
          <w:b w:val="1"/>
          <w:color w:val="ffff00"/>
          <w:sz w:val="30"/>
          <w:szCs w:val="30"/>
          <w:rtl w:val="0"/>
        </w:rPr>
        <w:t xml:space="preserve">* Lưu ý: * Đối với khách hàng đã ký kết hợp đồng tín dụng và đang tham gia chương trình ưu đãi lãi suất cố định 02 năm trước thời điểm văn bản này, các đơn vị đàm phán lại chính sách ưu đãi lãi suất với khách hàng, trường hợp khách hàng không đồng ý điều chỉnh lãi suất ưu đãi, các đơn vị tiếp tục áp dụng lãi suất đã ký kết với khách hàng cho đến khi Chương trình kết thúc.</w:t>
      </w:r>
    </w:p>
    <w:p w:rsidR="00000000" w:rsidDel="00000000" w:rsidP="00000000" w:rsidRDefault="00000000" w:rsidRPr="00000000" w14:paraId="00000027">
      <w:pPr>
        <w:spacing w:after="0" w:line="269" w:lineRule="auto"/>
        <w:ind w:firstLine="562"/>
        <w:jc w:val="both"/>
        <w:rPr>
          <w:sz w:val="30"/>
          <w:szCs w:val="30"/>
        </w:rPr>
      </w:pPr>
      <w:bookmarkStart w:colFirst="0" w:colLast="0" w:name="_heading=h.2yzs868fiqjp" w:id="0"/>
      <w:bookmarkEnd w:id="0"/>
      <w:r w:rsidDel="00000000" w:rsidR="00000000" w:rsidRPr="00000000">
        <w:rPr>
          <w:color w:val="ffffff"/>
          <w:sz w:val="30"/>
          <w:szCs w:val="30"/>
          <w:rtl w:val="0"/>
        </w:rPr>
        <w:t xml:space="preserve">+ Mức lãi suất trên áp dụng cho các khoản giải ngân mới của khách hàng thuộc đối tượng</w:t>
      </w:r>
      <w:r w:rsidDel="00000000" w:rsidR="00000000" w:rsidRPr="00000000">
        <w:rPr>
          <w:sz w:val="30"/>
          <w:szCs w:val="30"/>
          <w:rtl w:val="0"/>
        </w:rPr>
        <w:t xml:space="preserve"> </w:t>
      </w:r>
      <w:r w:rsidDel="00000000" w:rsidR="00000000" w:rsidRPr="00000000">
        <w:rPr>
          <w:i w:val="1"/>
          <w:color w:val="ffff00"/>
          <w:sz w:val="30"/>
          <w:szCs w:val="30"/>
          <w:rtl w:val="0"/>
        </w:rPr>
        <w:t xml:space="preserve">Cạnh tranh 1</w:t>
      </w:r>
      <w:r w:rsidDel="00000000" w:rsidR="00000000" w:rsidRPr="00000000">
        <w:rPr>
          <w:color w:val="ffff00"/>
          <w:sz w:val="30"/>
          <w:szCs w:val="30"/>
          <w:rtl w:val="0"/>
        </w:rPr>
        <w:t xml:space="preserve"> và </w:t>
      </w:r>
      <w:r w:rsidDel="00000000" w:rsidR="00000000" w:rsidRPr="00000000">
        <w:rPr>
          <w:i w:val="1"/>
          <w:color w:val="ffff00"/>
          <w:sz w:val="30"/>
          <w:szCs w:val="30"/>
          <w:rtl w:val="0"/>
        </w:rPr>
        <w:t xml:space="preserve">Ưu tiên 1</w:t>
      </w:r>
      <w:r w:rsidDel="00000000" w:rsidR="00000000" w:rsidRPr="00000000">
        <w:rPr>
          <w:color w:val="ffffff"/>
          <w:sz w:val="30"/>
          <w:szCs w:val="30"/>
          <w:rtl w:val="0"/>
        </w:rPr>
        <w:t xml:space="preserve">; Giảm lãi suất đối với các khoản giải ngân hiện hữu của khách hàng thuộc đối tượng </w:t>
      </w:r>
      <w:r w:rsidDel="00000000" w:rsidR="00000000" w:rsidRPr="00000000">
        <w:rPr>
          <w:i w:val="1"/>
          <w:color w:val="ffff00"/>
          <w:sz w:val="30"/>
          <w:szCs w:val="30"/>
          <w:rtl w:val="0"/>
        </w:rPr>
        <w:t xml:space="preserve">Cạnh tranh 2</w:t>
      </w:r>
      <w:r w:rsidDel="00000000" w:rsidR="00000000" w:rsidRPr="00000000">
        <w:rPr>
          <w:color w:val="ffff00"/>
          <w:sz w:val="30"/>
          <w:szCs w:val="30"/>
          <w:rtl w:val="0"/>
        </w:rPr>
        <w:t xml:space="preserve"> và </w:t>
      </w:r>
      <w:r w:rsidDel="00000000" w:rsidR="00000000" w:rsidRPr="00000000">
        <w:rPr>
          <w:i w:val="1"/>
          <w:color w:val="ffff00"/>
          <w:sz w:val="30"/>
          <w:szCs w:val="30"/>
          <w:rtl w:val="0"/>
        </w:rPr>
        <w:t xml:space="preserve">Ưu tiên 2.</w:t>
      </w:r>
      <w:r w:rsidDel="00000000" w:rsidR="00000000" w:rsidRPr="00000000">
        <w:rPr>
          <w:rtl w:val="0"/>
        </w:rPr>
      </w:r>
    </w:p>
    <w:p w:rsidR="00000000" w:rsidDel="00000000" w:rsidP="00000000" w:rsidRDefault="00000000" w:rsidRPr="00000000" w14:paraId="00000028">
      <w:pPr>
        <w:spacing w:after="0" w:line="269" w:lineRule="auto"/>
        <w:ind w:firstLine="562"/>
        <w:jc w:val="both"/>
        <w:rPr>
          <w:i w:val="1"/>
          <w:color w:val="ffff00"/>
          <w:sz w:val="30"/>
          <w:szCs w:val="30"/>
        </w:rPr>
      </w:pPr>
      <w:r w:rsidDel="00000000" w:rsidR="00000000" w:rsidRPr="00000000">
        <w:rPr>
          <w:color w:val="ffff00"/>
          <w:sz w:val="30"/>
          <w:szCs w:val="30"/>
          <w:rtl w:val="0"/>
        </w:rPr>
        <w:t xml:space="preserve">* Đối với nhóm khách hàng </w:t>
      </w:r>
      <w:r w:rsidDel="00000000" w:rsidR="00000000" w:rsidRPr="00000000">
        <w:rPr>
          <w:i w:val="1"/>
          <w:color w:val="ffff00"/>
          <w:sz w:val="30"/>
          <w:szCs w:val="30"/>
          <w:rtl w:val="0"/>
        </w:rPr>
        <w:t xml:space="preserve">Cạnh tranh 2</w:t>
      </w:r>
      <w:r w:rsidDel="00000000" w:rsidR="00000000" w:rsidRPr="00000000">
        <w:rPr>
          <w:color w:val="ffff00"/>
          <w:sz w:val="30"/>
          <w:szCs w:val="30"/>
          <w:rtl w:val="0"/>
        </w:rPr>
        <w:t xml:space="preserve"> và </w:t>
      </w:r>
      <w:r w:rsidDel="00000000" w:rsidR="00000000" w:rsidRPr="00000000">
        <w:rPr>
          <w:i w:val="1"/>
          <w:color w:val="ffff00"/>
          <w:sz w:val="30"/>
          <w:szCs w:val="30"/>
          <w:rtl w:val="0"/>
        </w:rPr>
        <w:t xml:space="preserve">Ưu tiên 2 đáp ứng các điều kiện của Chương trình, các đơn vị trình Giám đốc chi nhánh (qua phòng KHDN) để tổng hợp trình Tổng Giám đốc xem xét, phê duyệt trước khi tham gia Chương trình.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7. Điều kiện khách hàng</w:t>
      </w:r>
    </w:p>
    <w:p w:rsidR="00000000" w:rsidDel="00000000" w:rsidP="00000000" w:rsidRDefault="00000000" w:rsidRPr="00000000" w14:paraId="0000002A">
      <w:pPr>
        <w:spacing w:after="0" w:line="269" w:lineRule="auto"/>
        <w:ind w:firstLine="567"/>
        <w:jc w:val="both"/>
        <w:rPr>
          <w:color w:val="ffffff"/>
          <w:sz w:val="30"/>
          <w:szCs w:val="30"/>
        </w:rPr>
      </w:pPr>
      <w:r w:rsidDel="00000000" w:rsidR="00000000" w:rsidRPr="00000000">
        <w:rPr>
          <w:color w:val="ffffff"/>
          <w:sz w:val="30"/>
          <w:szCs w:val="30"/>
          <w:rtl w:val="0"/>
        </w:rPr>
        <w:t xml:space="preserve">Ngoài đáp ứng đầy đủ các điều kiện cho vay theo quy định hiện hành của Agribank, khách hàng phải đáp ứng đồng thời các điều kiện sau:</w:t>
      </w:r>
    </w:p>
    <w:p w:rsidR="00000000" w:rsidDel="00000000" w:rsidP="00000000" w:rsidRDefault="00000000" w:rsidRPr="00000000" w14:paraId="0000002B">
      <w:pPr>
        <w:spacing w:after="0" w:line="269" w:lineRule="auto"/>
        <w:ind w:firstLine="567"/>
        <w:jc w:val="both"/>
        <w:rPr>
          <w:color w:val="ffffff"/>
          <w:sz w:val="30"/>
          <w:szCs w:val="30"/>
        </w:rPr>
      </w:pPr>
      <w:r w:rsidDel="00000000" w:rsidR="00000000" w:rsidRPr="00000000">
        <w:rPr>
          <w:color w:val="ffffff"/>
          <w:sz w:val="30"/>
          <w:szCs w:val="30"/>
          <w:rtl w:val="0"/>
        </w:rPr>
        <w:t xml:space="preserve">a) Xếp hạng tín dụng nội bộ: Khách hàng được xếp loại từ A12 đến A1  theo tiêu chí xếp hạng nội bộ của Agribank (trừ trường hợp khách hàng thuộc đối tượng không phải xếp hạng khách hàng theo quy định về xếp hạng tín dụng nội bộ của Agribank)</w:t>
      </w:r>
    </w:p>
    <w:p w:rsidR="00000000" w:rsidDel="00000000" w:rsidP="00000000" w:rsidRDefault="00000000" w:rsidRPr="00000000" w14:paraId="0000002C">
      <w:pPr>
        <w:spacing w:after="0" w:line="269" w:lineRule="auto"/>
        <w:ind w:firstLine="567"/>
        <w:jc w:val="both"/>
        <w:rPr>
          <w:color w:val="ffffff"/>
          <w:sz w:val="30"/>
          <w:szCs w:val="30"/>
        </w:rPr>
      </w:pPr>
      <w:r w:rsidDel="00000000" w:rsidR="00000000" w:rsidRPr="00000000">
        <w:rPr>
          <w:color w:val="ffffff"/>
          <w:sz w:val="30"/>
          <w:szCs w:val="30"/>
          <w:rtl w:val="0"/>
        </w:rPr>
        <w:t xml:space="preserve">b) Chỉ tiêu tài chính: Căn cứ báo cáo tài chính kỳ gần nhất khách hàng cung cấp, khách hàng đảm bảo:</w:t>
      </w:r>
    </w:p>
    <w:p w:rsidR="00000000" w:rsidDel="00000000" w:rsidP="00000000" w:rsidRDefault="00000000" w:rsidRPr="00000000" w14:paraId="0000002D">
      <w:pPr>
        <w:numPr>
          <w:ilvl w:val="0"/>
          <w:numId w:val="1"/>
        </w:numPr>
        <w:tabs>
          <w:tab w:val="left" w:leader="none" w:pos="993"/>
        </w:tabs>
        <w:spacing w:after="0" w:line="269" w:lineRule="auto"/>
        <w:ind w:left="709" w:hanging="142.00000000000003"/>
        <w:jc w:val="both"/>
        <w:rPr>
          <w:color w:val="ffffff"/>
          <w:sz w:val="30"/>
          <w:szCs w:val="30"/>
        </w:rPr>
      </w:pPr>
      <w:r w:rsidDel="00000000" w:rsidR="00000000" w:rsidRPr="00000000">
        <w:rPr>
          <w:color w:val="ffffff"/>
          <w:sz w:val="30"/>
          <w:szCs w:val="30"/>
          <w:rtl w:val="0"/>
        </w:rPr>
        <w:t xml:space="preserve">Vốn chủ sở hữu &gt; 0</w:t>
      </w:r>
    </w:p>
    <w:p w:rsidR="00000000" w:rsidDel="00000000" w:rsidP="00000000" w:rsidRDefault="00000000" w:rsidRPr="00000000" w14:paraId="0000002E">
      <w:pPr>
        <w:numPr>
          <w:ilvl w:val="0"/>
          <w:numId w:val="1"/>
        </w:numPr>
        <w:tabs>
          <w:tab w:val="left" w:leader="none" w:pos="993"/>
        </w:tabs>
        <w:spacing w:after="0" w:line="269" w:lineRule="auto"/>
        <w:ind w:left="0" w:firstLine="567"/>
        <w:jc w:val="both"/>
        <w:rPr>
          <w:color w:val="ffffff"/>
          <w:sz w:val="30"/>
          <w:szCs w:val="30"/>
        </w:rPr>
      </w:pPr>
      <w:r w:rsidDel="00000000" w:rsidR="00000000" w:rsidRPr="00000000">
        <w:rPr>
          <w:color w:val="ffffff"/>
          <w:sz w:val="30"/>
          <w:szCs w:val="30"/>
          <w:rtl w:val="0"/>
        </w:rPr>
        <w:t xml:space="preserve">Không có lỗ lũy kế và lỗ năm tài chính gần nhất trừ trường hợp khách hàng bị lỗ theo kế hoạch (căn cứ phương án khách hàng xây dựng khi triển khai dự án).</w:t>
      </w:r>
    </w:p>
    <w:p w:rsidR="00000000" w:rsidDel="00000000" w:rsidP="00000000" w:rsidRDefault="00000000" w:rsidRPr="00000000" w14:paraId="0000002F">
      <w:pPr>
        <w:tabs>
          <w:tab w:val="left" w:leader="none" w:pos="993"/>
        </w:tabs>
        <w:spacing w:after="0" w:line="269" w:lineRule="auto"/>
        <w:ind w:firstLine="567"/>
        <w:jc w:val="both"/>
        <w:rPr>
          <w:color w:val="ffffff"/>
          <w:sz w:val="30"/>
          <w:szCs w:val="30"/>
        </w:rPr>
      </w:pPr>
      <w:r w:rsidDel="00000000" w:rsidR="00000000" w:rsidRPr="00000000">
        <w:rPr>
          <w:color w:val="ffffff"/>
          <w:sz w:val="30"/>
          <w:szCs w:val="30"/>
          <w:rtl w:val="0"/>
        </w:rPr>
        <w:t xml:space="preserve">c)Tại thời điểm tham gia chương trình khách hàng không có nợ nhóm 2 trở lên tại các TCTD; không có nợ cơ cấu tại Agribank (trừ trường hợp cơ cấu nợ giữ nguyên nhóm nợ theo quy định của NHNN); không có nợ xấu, nợ bán VAMC/DATC, nợ đã XLRR tại Agribank trong vòng 02 năm gần nhất.</w:t>
      </w:r>
    </w:p>
    <w:p w:rsidR="00000000" w:rsidDel="00000000" w:rsidP="00000000" w:rsidRDefault="00000000" w:rsidRPr="00000000" w14:paraId="00000030">
      <w:pPr>
        <w:spacing w:after="0" w:line="269" w:lineRule="auto"/>
        <w:ind w:firstLine="567"/>
        <w:jc w:val="both"/>
        <w:rPr>
          <w:color w:val="ffffff"/>
          <w:sz w:val="30"/>
          <w:szCs w:val="30"/>
        </w:rPr>
      </w:pPr>
      <w:r w:rsidDel="00000000" w:rsidR="00000000" w:rsidRPr="00000000">
        <w:rPr>
          <w:color w:val="ffffff"/>
          <w:sz w:val="30"/>
          <w:szCs w:val="30"/>
          <w:rtl w:val="0"/>
        </w:rPr>
        <w:t xml:space="preserve">d) Khách hàng đã sử dụng hoặc cam kết trong vòng 120 ngày kể từ ngày giải ngân đầu tiên theo Chương trình, khách hàng sử dụng tối thiểu 03 sản phẩm dịch vụ của Agribank thuộc các nhóm dịch vụ sau:</w:t>
      </w:r>
    </w:p>
    <w:p w:rsidR="00000000" w:rsidDel="00000000" w:rsidP="00000000" w:rsidRDefault="00000000" w:rsidRPr="00000000" w14:paraId="00000031">
      <w:pPr>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tài khoản (tiền gửi có kỳ hạn…).</w:t>
      </w:r>
    </w:p>
    <w:p w:rsidR="00000000" w:rsidDel="00000000" w:rsidP="00000000" w:rsidRDefault="00000000" w:rsidRPr="00000000" w14:paraId="00000032">
      <w:pPr>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thanh toán và quản lý dòng tiền (dịch vụ chi lương, thanh toán hóa đơn, đầu tư tự động, Ebanking…).</w:t>
      </w:r>
    </w:p>
    <w:p w:rsidR="00000000" w:rsidDel="00000000" w:rsidP="00000000" w:rsidRDefault="00000000" w:rsidRPr="00000000" w14:paraId="00000033">
      <w:pPr>
        <w:spacing w:after="0" w:line="269" w:lineRule="auto"/>
        <w:ind w:firstLine="567"/>
        <w:jc w:val="both"/>
        <w:rPr>
          <w:i w:val="1"/>
          <w:color w:val="ffffff"/>
          <w:sz w:val="30"/>
          <w:szCs w:val="30"/>
        </w:rPr>
      </w:pPr>
      <w:r w:rsidDel="00000000" w:rsidR="00000000" w:rsidRPr="00000000">
        <w:rPr>
          <w:color w:val="ffffff"/>
          <w:sz w:val="30"/>
          <w:szCs w:val="30"/>
          <w:rtl w:val="0"/>
        </w:rPr>
        <w:t xml:space="preserve">- Nhóm dịch vụ thẻ </w:t>
      </w:r>
      <w:r w:rsidDel="00000000" w:rsidR="00000000" w:rsidRPr="00000000">
        <w:rPr>
          <w:i w:val="1"/>
          <w:color w:val="ffffff"/>
          <w:sz w:val="30"/>
          <w:szCs w:val="30"/>
          <w:rtl w:val="0"/>
        </w:rPr>
        <w:t xml:space="preserve">(bao gồm thẻ tín dụng cho lãnh đạo doanh nghiệp).</w:t>
      </w:r>
    </w:p>
    <w:p w:rsidR="00000000" w:rsidDel="00000000" w:rsidP="00000000" w:rsidRDefault="00000000" w:rsidRPr="00000000" w14:paraId="00000034">
      <w:pPr>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thanh toán quốc tế và mua bán ngoại tệ.</w:t>
      </w:r>
    </w:p>
    <w:p w:rsidR="00000000" w:rsidDel="00000000" w:rsidP="00000000" w:rsidRDefault="00000000" w:rsidRPr="00000000" w14:paraId="00000035">
      <w:pPr>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khác.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40"/>
        <w:jc w:val="both"/>
        <w:rPr>
          <w:rFonts w:ascii="Times New Roman" w:cs="Times New Roman" w:eastAsia="Times New Roman" w:hAnsi="Times New Roman"/>
          <w:b w:val="1"/>
          <w:i w:val="0"/>
          <w:smallCaps w:val="0"/>
          <w:strike w:val="0"/>
          <w:color w:val="ffff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8"/>
          <w:szCs w:val="28"/>
          <w:u w:val="none"/>
          <w:shd w:fill="auto" w:val="clear"/>
          <w:vertAlign w:val="baseline"/>
          <w:rtl w:val="0"/>
        </w:rPr>
        <w:t xml:space="preserve">8. Phí trả nợ trước hạn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Áp dụng phí trả nợ trước hạn bằng mức phí cao nhất (trừ các trường hợp không thu phí trả nợ trước hạn) theo quy định của Tổng Giám đốc trong từng thời kỳ.</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5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PTPccWNOj+FYDN/rzoiifRCTFA==">CgMxLjAyDmguMnl6czg2OGZpcWpwOAByITEtUnJrbG5UZTkxNjBCSlpFeDIxWmp4X3NIWXRWdkNaZQ==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