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cho vay TDH ưu đãi lãi suất </w:t>
      </w:r>
    </w:p>
    <w:p w:rsidR="00000000" w:rsidDel="00000000" w:rsidP="00000000" w:rsidRDefault="00000000" w:rsidRPr="00000000" w14:paraId="00000004">
      <w:pPr>
        <w:spacing w:after="0" w:line="240" w:lineRule="auto"/>
        <w:jc w:val="center"/>
        <w:rPr>
          <w:b w:val="1"/>
          <w:i w:val="1"/>
          <w:color w:val="ffff00"/>
          <w:sz w:val="36"/>
          <w:szCs w:val="36"/>
        </w:rPr>
      </w:pPr>
      <w:r w:rsidDel="00000000" w:rsidR="00000000" w:rsidRPr="00000000">
        <w:rPr>
          <w:b w:val="1"/>
          <w:color w:val="ffff00"/>
          <w:sz w:val="36"/>
          <w:szCs w:val="36"/>
          <w:rtl w:val="0"/>
        </w:rPr>
        <w:t xml:space="preserve">mua nhà ở, nhận chuyển nhượng quyền sử dụng đất, xây dựng, sửa chữa, cải tạo, hoàn thiện nhà ở.</w:t>
      </w:r>
      <w:r w:rsidDel="00000000" w:rsidR="00000000" w:rsidRPr="00000000">
        <w:rPr>
          <w:b w:val="1"/>
          <w:i w:val="1"/>
          <w:color w:val="ffff00"/>
          <w:sz w:val="36"/>
          <w:szCs w:val="36"/>
          <w:rtl w:val="0"/>
        </w:rPr>
        <w:t xml:space="preserve"> </w:t>
      </w:r>
    </w:p>
    <w:p w:rsidR="00000000" w:rsidDel="00000000" w:rsidP="00000000" w:rsidRDefault="00000000" w:rsidRPr="00000000" w14:paraId="00000005">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(VB 1625/NHNo.BTPHCM-KHQLRR; VB 1472/NHNo.BTPHCM-KHQLRR;</w:t>
      </w:r>
    </w:p>
    <w:p w:rsidR="00000000" w:rsidDel="00000000" w:rsidP="00000000" w:rsidRDefault="00000000" w:rsidRPr="00000000" w14:paraId="00000006">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15/08/2025)</w:t>
      </w:r>
    </w:p>
    <w:p w:rsidR="00000000" w:rsidDel="00000000" w:rsidP="00000000" w:rsidRDefault="00000000" w:rsidRPr="00000000" w14:paraId="00000007">
      <w:pPr>
        <w:spacing w:after="0" w:line="240" w:lineRule="auto"/>
        <w:jc w:val="center"/>
        <w:rPr>
          <w:b w:val="1"/>
          <w:color w:val="ffff00"/>
          <w:sz w:val="14"/>
          <w:szCs w:val="14"/>
        </w:rPr>
      </w:pPr>
      <w:bookmarkStart w:colFirst="0" w:colLast="0" w:name="_heading=h.i9lf22m885x8" w:id="0"/>
      <w:bookmarkEnd w:id="0"/>
      <w:r w:rsidDel="00000000" w:rsidR="00000000" w:rsidRPr="00000000">
        <w:rPr>
          <w:rtl w:val="0"/>
        </w:rPr>
      </w:r>
    </w:p>
    <w:p w:rsidR="00000000" w:rsidDel="00000000" w:rsidP="00000000" w:rsidRDefault="00000000" w:rsidRPr="00000000" w14:paraId="00000008">
      <w:pPr>
        <w:spacing w:after="0" w:line="269" w:lineRule="auto"/>
        <w:ind w:firstLine="567"/>
        <w:jc w:val="both"/>
        <w:rPr>
          <w:color w:val="ffffff"/>
          <w:sz w:val="30"/>
          <w:szCs w:val="30"/>
        </w:rPr>
      </w:pPr>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Áp dụng đối với các khoản giải ngân kể từ ngày</w:t>
      </w:r>
      <w:r w:rsidDel="00000000" w:rsidR="00000000" w:rsidRPr="00000000">
        <w:rPr>
          <w:sz w:val="30"/>
          <w:szCs w:val="30"/>
          <w:rtl w:val="0"/>
        </w:rPr>
        <w:t xml:space="preserve"> </w:t>
      </w:r>
      <w:r w:rsidDel="00000000" w:rsidR="00000000" w:rsidRPr="00000000">
        <w:rPr>
          <w:b w:val="1"/>
          <w:color w:val="ffff00"/>
          <w:sz w:val="30"/>
          <w:szCs w:val="30"/>
          <w:rtl w:val="0"/>
        </w:rPr>
        <w:t xml:space="preserve">20/07/2025 đến hết ngày 31/12/202</w:t>
      </w:r>
      <w:r w:rsidDel="00000000" w:rsidR="00000000" w:rsidRPr="00000000">
        <w:rPr>
          <w:color w:val="ffff00"/>
          <w:sz w:val="30"/>
          <w:szCs w:val="30"/>
          <w:rtl w:val="0"/>
        </w:rPr>
        <w:t xml:space="preserve">5</w:t>
      </w:r>
      <w:r w:rsidDel="00000000" w:rsidR="00000000" w:rsidRPr="00000000">
        <w:rPr>
          <w:color w:val="ffffff"/>
          <w:sz w:val="30"/>
          <w:szCs w:val="30"/>
          <w:rtl w:val="0"/>
        </w:rPr>
        <w:t xml:space="preserve">. Chương trình có thể kết thúc sớm hơn hoặc gia hạn theo quyết định của Tổng Giám đốc.</w:t>
      </w:r>
    </w:p>
    <w:p w:rsidR="00000000" w:rsidDel="00000000" w:rsidP="00000000" w:rsidRDefault="00000000" w:rsidRPr="00000000" w14:paraId="00000009">
      <w:pPr>
        <w:spacing w:after="0" w:line="269" w:lineRule="auto"/>
        <w:ind w:firstLine="567"/>
        <w:jc w:val="both"/>
        <w:rPr>
          <w:color w:val="ffffff"/>
          <w:sz w:val="30"/>
          <w:szCs w:val="30"/>
        </w:rPr>
      </w:pPr>
      <w:r w:rsidDel="00000000" w:rsidR="00000000" w:rsidRPr="00000000">
        <w:rPr>
          <w:b w:val="1"/>
          <w:color w:val="ffff00"/>
          <w:sz w:val="30"/>
          <w:szCs w:val="30"/>
          <w:rtl w:val="0"/>
        </w:rPr>
        <w:t xml:space="preserve">2. Mục đích cho vay</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Khách hàng vay vốn để thanh toán các chi phí cho mục đích mua nhà ở và/hoặc chuyển nhượng quyền sử dụng đất, quyền sở hữu tài sản gắn liền với đất; xây dựng, sửa chữa, cải tạo, hoàn thiện nhà ở của cá nhân khách hàng, hoặc người có quan hệ huyết thống, nuôi dưỡng khách hàng.</w:t>
      </w:r>
    </w:p>
    <w:p w:rsidR="00000000" w:rsidDel="00000000" w:rsidP="00000000" w:rsidRDefault="00000000" w:rsidRPr="00000000" w14:paraId="0000000A">
      <w:pPr>
        <w:spacing w:after="0" w:line="269" w:lineRule="auto"/>
        <w:ind w:firstLine="567"/>
        <w:jc w:val="both"/>
        <w:rPr>
          <w:i w:val="1"/>
          <w:color w:val="ffffff"/>
          <w:sz w:val="30"/>
          <w:szCs w:val="30"/>
        </w:rPr>
      </w:pPr>
      <w:r w:rsidDel="00000000" w:rsidR="00000000" w:rsidRPr="00000000">
        <w:rPr>
          <w:i w:val="1"/>
          <w:color w:val="ffffff"/>
          <w:rtl w:val="0"/>
        </w:rPr>
        <w:t xml:space="preserve">Người có quan hệ huyết thống, nuôi dưỡng khách hàng bao gồm: bố/mẹ (bố/mẹ đẻ, bố/mẹ vợ, bố/mẹ chồng, bố/mẹ nuôi; con (con đẻ/con dâu/con rể/con nuôi); anh/chị/em (anh/chị/em ruột, anh/chị/em nuôi).</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3. Đối tượng áp dụng.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a) Đối tượng 1</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 Khách hàng mới (là khách hàng không có dư nợ vay tại Agribank trong 12 tháng gần nhất tính đến thời điểm ký kết Hợp đồng tín dụng)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b) Đối tượng 2: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(i) Khách hàng không có dư nợ vay tại Agribank trong vòng 10 (mười) ngày gần nhất tính đến thời điểm ký kết Hợp đồng tín dụng;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(ii) Khách hàng đã ký kết Hợp đồng tín dụng để thực hiện vay vốn theo mục đích tại mục 6 văn bản này trước thời điểm triển khai Chương trình (vay từng lần) nhưng chưa giải ngân hết;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(iii) Khách hàng đang có dư nợ tại Agribank có nhu cầu ký hợp đồng tín dụng mới để vay vốn theo Chương trình này.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c) Chương trình không áp dụng đối với khách hàng trả nợ trước hạn một phần hoặc toàn bộ khoản vay tại Agribank để vay khoản mới hưởng ưu đãi lãi suất của Chương trình này.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Đồng tiền cho vay, trả nợ</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Bằng đồng Việt Nam (VND).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Loại cho vay và phương thức cho vay.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a) Loại cho vay: Trung và dài hạn;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b) Phương thức cho vay: Cho vay từng lần.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6. Lãi suất cho vay.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7"/>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a) Áp dụng lãi suất cho vay cố định trong thời gian đầu (tính từ ngày giải ngân) với mức lãi suất và</w:t>
      </w:r>
      <w:r w:rsidDel="00000000" w:rsidR="00000000" w:rsidRPr="00000000">
        <w:rPr>
          <w:rFonts w:ascii="Times New Roman" w:cs="Times New Roman" w:eastAsia="Times New Roman" w:hAnsi="Times New Roman"/>
          <w:b w:val="1"/>
          <w:i w:val="0"/>
          <w:smallCaps w:val="0"/>
          <w:strike w:val="0"/>
          <w:color w:val="ffffff"/>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thời gian vay tối thiểu của khoản giải ngân như sau:</w:t>
      </w:r>
    </w:p>
    <w:p w:rsidR="00000000" w:rsidDel="00000000" w:rsidP="00000000" w:rsidRDefault="00000000" w:rsidRPr="00000000" w14:paraId="00000018">
      <w:pPr>
        <w:tabs>
          <w:tab w:val="left" w:leader="none" w:pos="851"/>
        </w:tabs>
        <w:spacing w:after="0" w:line="269" w:lineRule="auto"/>
        <w:ind w:firstLine="567"/>
        <w:jc w:val="both"/>
        <w:rPr>
          <w:sz w:val="30"/>
          <w:szCs w:val="30"/>
        </w:rPr>
      </w:pPr>
      <w:r w:rsidDel="00000000" w:rsidR="00000000" w:rsidRPr="00000000">
        <w:rPr>
          <w:rtl w:val="0"/>
        </w:rPr>
      </w:r>
    </w:p>
    <w:p w:rsidR="00000000" w:rsidDel="00000000" w:rsidP="00000000" w:rsidRDefault="00000000" w:rsidRPr="00000000" w14:paraId="00000019">
      <w:pPr>
        <w:tabs>
          <w:tab w:val="left" w:leader="none" w:pos="851"/>
        </w:tabs>
        <w:spacing w:after="0" w:line="269" w:lineRule="auto"/>
        <w:ind w:firstLine="567"/>
        <w:jc w:val="both"/>
        <w:rPr>
          <w:sz w:val="30"/>
          <w:szCs w:val="30"/>
        </w:rPr>
      </w:pPr>
      <w:r w:rsidDel="00000000" w:rsidR="00000000" w:rsidRPr="00000000">
        <w:rPr>
          <w:rtl w:val="0"/>
        </w:rPr>
      </w:r>
    </w:p>
    <w:tbl>
      <w:tblPr>
        <w:tblStyle w:val="Table1"/>
        <w:tblW w:w="99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1"/>
        <w:gridCol w:w="3347"/>
        <w:gridCol w:w="2127"/>
        <w:gridCol w:w="1985"/>
        <w:gridCol w:w="1880"/>
        <w:tblGridChange w:id="0">
          <w:tblGrid>
            <w:gridCol w:w="641"/>
            <w:gridCol w:w="3347"/>
            <w:gridCol w:w="2127"/>
            <w:gridCol w:w="1985"/>
            <w:gridCol w:w="1880"/>
          </w:tblGrid>
        </w:tblGridChange>
      </w:tblGrid>
      <w:tr>
        <w:trPr>
          <w:cantSplit w:val="0"/>
          <w:trHeight w:val="20" w:hRule="atLeast"/>
          <w:tblHeader w:val="0"/>
        </w:trPr>
        <w:tc>
          <w:tcPr>
            <w:shd w:fill="ffffff"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TT</w:t>
            </w:r>
          </w:p>
        </w:tc>
        <w:tc>
          <w:tcPr>
            <w:shd w:fill="ffffff"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Thời hạn vay/LSCV</w:t>
            </w:r>
          </w:p>
        </w:tc>
        <w:tc>
          <w:tcPr>
            <w:shd w:fill="ffffff"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Cố định 6T đầu tiên</w:t>
            </w:r>
          </w:p>
        </w:tc>
        <w:tc>
          <w:tcPr>
            <w:shd w:fill="ffffff"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Cố định 12T đầu tiên</w:t>
            </w:r>
          </w:p>
        </w:tc>
        <w:tc>
          <w:tcPr>
            <w:shd w:fill="ffffff"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Cố định 18T đầu tiên</w:t>
            </w:r>
          </w:p>
        </w:tc>
      </w:tr>
      <w:tr>
        <w:trPr>
          <w:cantSplit w:val="0"/>
          <w:trHeight w:val="20" w:hRule="atLeast"/>
          <w:tblHeader w:val="0"/>
        </w:trPr>
        <w:tc>
          <w:tcPr>
            <w:shd w:fill="ffffff"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1</w:t>
            </w:r>
          </w:p>
        </w:tc>
        <w:tc>
          <w:tcPr>
            <w:shd w:fill="ffffff"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Thời hạn cho vay tối thiểu của khoản giải ngân</w:t>
            </w:r>
          </w:p>
        </w:tc>
        <w:tc>
          <w:tcPr>
            <w:shd w:fill="ffffff"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18 tháng</w:t>
            </w:r>
          </w:p>
        </w:tc>
        <w:tc>
          <w:tcPr>
            <w:shd w:fill="ffffff"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36 tháng</w:t>
            </w:r>
          </w:p>
        </w:tc>
        <w:tc>
          <w:tcPr>
            <w:shd w:fill="ffffff"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60 tháng</w:t>
            </w:r>
          </w:p>
        </w:tc>
      </w:tr>
      <w:tr>
        <w:trPr>
          <w:cantSplit w:val="0"/>
          <w:trHeight w:val="594" w:hRule="atLeast"/>
          <w:tblHeader w:val="0"/>
        </w:trPr>
        <w:tc>
          <w:tcPr>
            <w:shd w:fill="ffffff"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2</w:t>
            </w:r>
          </w:p>
        </w:tc>
        <w:tc>
          <w:tcPr>
            <w:shd w:fill="ffffff"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Lãi suất cho vay</w:t>
            </w:r>
          </w:p>
        </w:tc>
        <w:tc>
          <w:tcPr>
            <w:shd w:fill="ffffff"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5,5%/năm</w:t>
            </w:r>
          </w:p>
        </w:tc>
        <w:tc>
          <w:tcPr>
            <w:shd w:fill="ffffff"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30"/>
                <w:szCs w:val="30"/>
                <w:u w:val="none"/>
                <w:shd w:fill="auto" w:val="clear"/>
                <w:vertAlign w:val="baseline"/>
                <w:rtl w:val="0"/>
              </w:rPr>
              <w:t xml:space="preserve">6,2%/năm</w:t>
            </w:r>
          </w:p>
        </w:tc>
        <w:tc>
          <w:tcPr>
            <w:shd w:fill="ffffff"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30"/>
                <w:szCs w:val="30"/>
                <w:u w:val="none"/>
                <w:shd w:fill="auto" w:val="clear"/>
                <w:vertAlign w:val="baseline"/>
                <w:rtl w:val="0"/>
              </w:rPr>
              <w:t xml:space="preserve">6,3%/năm</w:t>
            </w:r>
          </w:p>
        </w:tc>
      </w:tr>
    </w:tbl>
    <w:p w:rsidR="00000000" w:rsidDel="00000000" w:rsidP="00000000" w:rsidRDefault="00000000" w:rsidRPr="00000000" w14:paraId="00000029">
      <w:pPr>
        <w:tabs>
          <w:tab w:val="left" w:leader="none" w:pos="851"/>
        </w:tabs>
        <w:spacing w:after="0" w:line="269" w:lineRule="auto"/>
        <w:ind w:firstLine="567"/>
        <w:jc w:val="both"/>
        <w:rPr>
          <w:sz w:val="10"/>
          <w:szCs w:val="10"/>
        </w:rPr>
      </w:pPr>
      <w:r w:rsidDel="00000000" w:rsidR="00000000" w:rsidRPr="00000000">
        <w:rPr>
          <w:rtl w:val="0"/>
        </w:rPr>
      </w:r>
    </w:p>
    <w:p w:rsidR="00000000" w:rsidDel="00000000" w:rsidP="00000000" w:rsidRDefault="00000000" w:rsidRPr="00000000" w14:paraId="0000002A">
      <w:pPr>
        <w:tabs>
          <w:tab w:val="left" w:leader="none" w:pos="851"/>
        </w:tabs>
        <w:spacing w:after="0" w:line="269" w:lineRule="auto"/>
        <w:ind w:firstLine="567"/>
        <w:jc w:val="both"/>
        <w:rPr>
          <w:color w:val="ffff00"/>
          <w:sz w:val="30"/>
          <w:szCs w:val="30"/>
        </w:rPr>
      </w:pPr>
      <w:r w:rsidDel="00000000" w:rsidR="00000000" w:rsidRPr="00000000">
        <w:rPr>
          <w:color w:val="ffffff"/>
          <w:sz w:val="30"/>
          <w:szCs w:val="30"/>
          <w:rtl w:val="0"/>
        </w:rPr>
        <w:t xml:space="preserve">b)  Sau thời gian áp dụng mức LSCV cố định nêu trên, chuyển sang áp dụng lãi suất có điều chỉnh = (bằng) lãi suất niêm yết tối đa tiền gửi tiết kiệm VND trả lãi sau toàn bộ kỳ hạn </w:t>
      </w:r>
      <w:r w:rsidDel="00000000" w:rsidR="00000000" w:rsidRPr="00000000">
        <w:rPr>
          <w:b w:val="1"/>
          <w:color w:val="ffff00"/>
          <w:sz w:val="30"/>
          <w:szCs w:val="30"/>
          <w:rtl w:val="0"/>
        </w:rPr>
        <w:t xml:space="preserve">24 tháng</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 (cộng) biên độ</w:t>
      </w:r>
      <w:r w:rsidDel="00000000" w:rsidR="00000000" w:rsidRPr="00000000">
        <w:rPr>
          <w:sz w:val="30"/>
          <w:szCs w:val="30"/>
          <w:rtl w:val="0"/>
        </w:rPr>
        <w:t xml:space="preserve"> </w:t>
      </w:r>
      <w:r w:rsidDel="00000000" w:rsidR="00000000" w:rsidRPr="00000000">
        <w:rPr>
          <w:b w:val="1"/>
          <w:color w:val="ffff00"/>
          <w:sz w:val="30"/>
          <w:szCs w:val="30"/>
          <w:rtl w:val="0"/>
        </w:rPr>
        <w:t xml:space="preserve">3,0%/năm</w:t>
      </w:r>
      <w:r w:rsidDel="00000000" w:rsidR="00000000" w:rsidRPr="00000000">
        <w:rPr>
          <w:color w:val="ffff00"/>
          <w:sz w:val="30"/>
          <w:szCs w:val="30"/>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7. Điều kiện cho vay.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Khách hàng vay vốn đáp ứng đầy đủ các điều kiện cho vay theo quy định hiện hành của Agribank, ngoài ra khách hàng đáp ứng thêm các điều kiện sau: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a) Khách hàng được xếp hạng từ A1 đến A12 theo tiêu chí xếp hạng tín dụng nội bộ của Agribank;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b) Khách hàng không có nợ xấu, nợ đã xử lý rủi ro, nợ đã bán cho VAMC, DATC tại Agribank và các tổ chức tín dụng khác trong 01 (một) năm gần nhất tính đến thời điểm quyết định cho vay;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1"/>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c) Khách hàng mở tài khoản thanh toán tại Agribank nơi cho vay và cam kết chuyển nguồn thu nhập về tài khoản thanh toán; Trường hợp khách hàng nhận lương qua tài khoản thanh toán mở tại các TCTD khác, sau khi khách hàng nhận được tiền lương phải thực hiện chuyển nguồn thu nhập này về tài khoản mở tại Agribank nơi cho vay </w:t>
      </w:r>
      <w:r w:rsidDel="00000000" w:rsidR="00000000" w:rsidRPr="00000000">
        <w:rPr>
          <w:rFonts w:ascii="Times New Roman" w:cs="Times New Roman" w:eastAsia="Times New Roman" w:hAnsi="Times New Roman"/>
          <w:b w:val="0"/>
          <w:i w:val="1"/>
          <w:smallCaps w:val="0"/>
          <w:strike w:val="0"/>
          <w:color w:val="ffffff"/>
          <w:sz w:val="30"/>
          <w:szCs w:val="30"/>
          <w:u w:val="none"/>
          <w:shd w:fill="auto" w:val="clear"/>
          <w:vertAlign w:val="baseline"/>
          <w:rtl w:val="0"/>
        </w:rPr>
        <w:t xml:space="preserve">(Nội dung này được quy định trong Hợp đồng tín dụng/Văn bản sửa đổi, bổ sung Hợp đồng tín dụng).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d) Trong thời gian tham gia Chương trình, Khách hàng cam kết sử dụng tối thiểu 02 dịch vụ trong các nhóm dịch vụ sau: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(i) Nhóm 1: Sản phẩm tài khoản thanh toán: tài khoản thanh toán số đẹp.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(ii) Nhóm 2: Sản phẩm tiền gửi: tiền gửi tiết kiệm, tiền gửi có kỳ hạn…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(iii) Nhóm 3: Dịch vụ thẻ: thẻ ghi nợ, thẻ tín dụng.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(iv) Nhóm 4: Dịch vụ thu hộ, thanh toán hóa đơn qua Agribank.</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(v) Nhóm 5: Dịch vụ Ngân hàng điện tử: Agribank Plus, thông báo biến động số dư trên Agribank Plus (OTT)</w:t>
      </w:r>
    </w:p>
    <w:p w:rsidR="00000000" w:rsidDel="00000000" w:rsidP="00000000" w:rsidRDefault="00000000" w:rsidRPr="00000000" w14:paraId="00000036">
      <w:pPr>
        <w:tabs>
          <w:tab w:val="left" w:leader="none" w:pos="851"/>
        </w:tabs>
        <w:spacing w:after="0" w:line="269" w:lineRule="auto"/>
        <w:ind w:firstLine="567"/>
        <w:jc w:val="both"/>
        <w:rPr>
          <w:color w:val="ffffff"/>
          <w:sz w:val="30"/>
          <w:szCs w:val="30"/>
        </w:rPr>
      </w:pPr>
      <w:r w:rsidDel="00000000" w:rsidR="00000000" w:rsidRPr="00000000">
        <w:rPr>
          <w:color w:val="ffffff"/>
          <w:sz w:val="30"/>
          <w:szCs w:val="30"/>
          <w:rtl w:val="0"/>
        </w:rPr>
        <w:t xml:space="preserve">e) Khuyến khích khách hàng tự nguyện tham gia các sản phẩm của ABIC như bảo an tín dụng, bảo hiểm nhà tư nhân, bảo hiểm cháy nổ, bảo an tài khoản, bảo an chủ thẻ.</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8. Phí trả nợ trước hạn: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Theo biểu phí hiện hành của Giám đốc chi nhánh.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ffffff"/>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Lưu ý: Đối với các Hợp đồng tín dụng đã ký trước ngày 15/08/2025, các đơn vị tiếp tục thực hiện theo nội dung đã thỏa thuận với khách hàng.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5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SsSIMNQjSbL0f1kRvLvA/0hUg==">CgMxLjAyDmguaTlsZjIybTg4NXg4OAByITFXODJySkFsSmZWeWVVcFZySW9fa3BzdHR3OVpyeXJKMQ==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