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80000"/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</w:rPr>
        <w:drawing>
          <wp:inline distB="0" distT="0" distL="0" distR="0">
            <wp:extent cx="2228850" cy="647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b w:val="1"/>
          <w:color w:val="ffffff"/>
          <w:sz w:val="30"/>
          <w:szCs w:val="30"/>
          <w:rtl w:val="0"/>
        </w:rPr>
        <w:t xml:space="preserve">CHI NHÁNH BẮC TPHCM</w:t>
      </w: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ffff00"/>
          <w:sz w:val="40"/>
          <w:szCs w:val="40"/>
        </w:rPr>
      </w:pPr>
      <w:r w:rsidDel="00000000" w:rsidR="00000000" w:rsidRPr="00000000">
        <w:rPr>
          <w:b w:val="1"/>
          <w:color w:val="ffff00"/>
          <w:sz w:val="40"/>
          <w:szCs w:val="40"/>
          <w:rtl w:val="0"/>
        </w:rPr>
        <w:t xml:space="preserve">Chính sách cho vay mua nhà ở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i w:val="1"/>
          <w:color w:val="ffff00"/>
          <w:sz w:val="40"/>
          <w:szCs w:val="40"/>
        </w:rPr>
      </w:pPr>
      <w:r w:rsidDel="00000000" w:rsidR="00000000" w:rsidRPr="00000000">
        <w:rPr>
          <w:b w:val="1"/>
          <w:color w:val="ffff00"/>
          <w:sz w:val="40"/>
          <w:szCs w:val="40"/>
          <w:rtl w:val="0"/>
        </w:rPr>
        <w:t xml:space="preserve"> đối với khách hàng trẻ tuổi</w:t>
      </w:r>
      <w:r w:rsidDel="00000000" w:rsidR="00000000" w:rsidRPr="00000000">
        <w:rPr>
          <w:b w:val="1"/>
          <w:i w:val="1"/>
          <w:color w:val="ffff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i w:val="1"/>
          <w:color w:val="ffffff"/>
          <w:sz w:val="26"/>
          <w:szCs w:val="26"/>
        </w:rPr>
      </w:pPr>
      <w:bookmarkStart w:colFirst="0" w:colLast="0" w:name="_heading=h.8hqhhccyzy8g" w:id="0"/>
      <w:bookmarkEnd w:id="0"/>
      <w:r w:rsidDel="00000000" w:rsidR="00000000" w:rsidRPr="00000000">
        <w:rPr>
          <w:b w:val="1"/>
          <w:i w:val="1"/>
          <w:color w:val="ffffff"/>
          <w:sz w:val="26"/>
          <w:szCs w:val="26"/>
          <w:rtl w:val="0"/>
        </w:rPr>
        <w:t xml:space="preserve">(VB 556A/NHNo.BTPHCM-KHQLRR; VB 1471/NHNo.BTPHCM-KHQLRR;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i w:val="1"/>
          <w:color w:val="ffffff"/>
          <w:sz w:val="26"/>
          <w:szCs w:val="26"/>
        </w:rPr>
      </w:pPr>
      <w:r w:rsidDel="00000000" w:rsidR="00000000" w:rsidRPr="00000000">
        <w:rPr>
          <w:b w:val="1"/>
          <w:i w:val="1"/>
          <w:color w:val="ffffff"/>
          <w:sz w:val="26"/>
          <w:szCs w:val="26"/>
          <w:rtl w:val="0"/>
        </w:rPr>
        <w:t xml:space="preserve">Hiệu lực từ ngày 15/08/2025)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ffff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69" w:lineRule="auto"/>
        <w:ind w:firstLine="567"/>
        <w:jc w:val="both"/>
        <w:rPr>
          <w:color w:val="ffffff"/>
          <w:sz w:val="30"/>
          <w:szCs w:val="30"/>
        </w:rPr>
      </w:pPr>
      <w:r w:rsidDel="00000000" w:rsidR="00000000" w:rsidRPr="00000000">
        <w:rPr>
          <w:b w:val="1"/>
          <w:color w:val="ffff00"/>
          <w:sz w:val="30"/>
          <w:szCs w:val="30"/>
          <w:rtl w:val="0"/>
        </w:rPr>
        <w:t xml:space="preserve">1. Thời gian triển khai</w:t>
      </w:r>
      <w:r w:rsidDel="00000000" w:rsidR="00000000" w:rsidRPr="00000000">
        <w:rPr>
          <w:color w:val="ffff00"/>
          <w:sz w:val="30"/>
          <w:szCs w:val="30"/>
          <w:rtl w:val="0"/>
        </w:rPr>
        <w:t xml:space="preserve">: </w:t>
      </w:r>
      <w:r w:rsidDel="00000000" w:rsidR="00000000" w:rsidRPr="00000000">
        <w:rPr>
          <w:color w:val="ffffff"/>
          <w:sz w:val="30"/>
          <w:szCs w:val="30"/>
          <w:rtl w:val="0"/>
        </w:rPr>
        <w:t xml:space="preserve">Áp dụng đối với các khoản giải ngân kể từ ngày </w:t>
      </w:r>
      <w:r w:rsidDel="00000000" w:rsidR="00000000" w:rsidRPr="00000000">
        <w:rPr>
          <w:b w:val="1"/>
          <w:color w:val="ffff00"/>
          <w:sz w:val="30"/>
          <w:szCs w:val="30"/>
          <w:rtl w:val="0"/>
        </w:rPr>
        <w:t xml:space="preserve">02/04/2025 đến hết ngày 31/12/202</w:t>
      </w:r>
      <w:r w:rsidDel="00000000" w:rsidR="00000000" w:rsidRPr="00000000">
        <w:rPr>
          <w:color w:val="ffff00"/>
          <w:sz w:val="30"/>
          <w:szCs w:val="30"/>
          <w:rtl w:val="0"/>
        </w:rPr>
        <w:t xml:space="preserve">5.</w:t>
      </w:r>
      <w:r w:rsidDel="00000000" w:rsidR="00000000" w:rsidRPr="00000000">
        <w:rPr>
          <w:color w:val="ffffff"/>
          <w:sz w:val="30"/>
          <w:szCs w:val="30"/>
          <w:rtl w:val="0"/>
        </w:rPr>
        <w:t xml:space="preserve"> Chính sách LSCV theo văn bản này có thể kết thúc sớm hơn hoặc gia hạn thêm thời gian triển khai theo quyết định của Tổng Giám đốc.</w:t>
      </w:r>
    </w:p>
    <w:p w:rsidR="00000000" w:rsidDel="00000000" w:rsidP="00000000" w:rsidRDefault="00000000" w:rsidRPr="00000000" w14:paraId="00000009">
      <w:pPr>
        <w:spacing w:after="0" w:line="269" w:lineRule="auto"/>
        <w:ind w:firstLine="567"/>
        <w:jc w:val="both"/>
        <w:rPr>
          <w:color w:val="ffffff"/>
          <w:sz w:val="30"/>
          <w:szCs w:val="30"/>
        </w:rPr>
      </w:pPr>
      <w:r w:rsidDel="00000000" w:rsidR="00000000" w:rsidRPr="00000000">
        <w:rPr>
          <w:b w:val="1"/>
          <w:color w:val="ffff00"/>
          <w:sz w:val="30"/>
          <w:szCs w:val="30"/>
          <w:rtl w:val="0"/>
        </w:rPr>
        <w:t xml:space="preserve">2. Mục đích cho vay</w:t>
      </w:r>
      <w:r w:rsidDel="00000000" w:rsidR="00000000" w:rsidRPr="00000000">
        <w:rPr>
          <w:color w:val="ffff00"/>
          <w:sz w:val="30"/>
          <w:szCs w:val="30"/>
          <w:rtl w:val="0"/>
        </w:rPr>
        <w:t xml:space="preserve">: </w:t>
      </w:r>
      <w:r w:rsidDel="00000000" w:rsidR="00000000" w:rsidRPr="00000000">
        <w:rPr>
          <w:color w:val="ffffff"/>
          <w:sz w:val="30"/>
          <w:szCs w:val="30"/>
          <w:rtl w:val="0"/>
        </w:rPr>
        <w:t xml:space="preserve">hỗ trợ người trẻ dưới 35 tuổi mua nhà ở, tạo điều kiện cho người trẻ an cư lạc nghiệp.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3. Đối tượng áp dụng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a) Khách hàng vay vốn theo Quy định số 999/QyĐ-NHNo-KHCN.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b) Không áp dụng đối với các trường hợp sau: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(i) Khách hàng vay để mua nhà ở thương mại được chủ đầu tư hỗ trợ lãi suất tiền vay;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(ii) Khách hàng vay trả nợ trước hạn (một phần hoặc toàn bộ) khoản vay cũ mua nhà ở để vay khoản vay mới theo văn bản này.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4. Đồng tiền cho vay, trả nợ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Bằng đồng Việt Nam (VND).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5. Loại cho vay và phương thức cho vay.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a) Loại cho vay: Trung và dài hạn;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b) Phương thức cho vay: Cho vay từng lần.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6. Chính sách lãi suất và phí.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6.1. Lãi suất cho vay.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a) Áp dụng lãi suất cho vay cố định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18 tháng đầu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(tính từ ngày giải ngân) với mức lãi suất: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6,3%/năm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thời gian vay tối thiểu của khoản giải ngân từ 36 tháng trở lên.</w:t>
      </w:r>
    </w:p>
    <w:p w:rsidR="00000000" w:rsidDel="00000000" w:rsidP="00000000" w:rsidRDefault="00000000" w:rsidRPr="00000000" w14:paraId="00000016">
      <w:pPr>
        <w:tabs>
          <w:tab w:val="left" w:leader="none" w:pos="851"/>
        </w:tabs>
        <w:spacing w:after="0" w:line="269" w:lineRule="auto"/>
        <w:ind w:firstLine="567"/>
        <w:jc w:val="both"/>
        <w:rPr>
          <w:sz w:val="30"/>
          <w:szCs w:val="30"/>
        </w:rPr>
      </w:pPr>
      <w:r w:rsidDel="00000000" w:rsidR="00000000" w:rsidRPr="00000000">
        <w:rPr>
          <w:color w:val="ffffff"/>
          <w:sz w:val="30"/>
          <w:szCs w:val="30"/>
          <w:rtl w:val="0"/>
        </w:rPr>
        <w:t xml:space="preserve">b)  Sau thời gian áp dụng mức LSCV cố định theo điểm a nêu trên, chuyển sang áp dụng lãi suất có điều = (bằng) lãi suất niêm yết tối đa tiền gửi tiết kiệm VND trả lãi sau toàn bộ kỳ hạn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color w:val="ffff00"/>
          <w:sz w:val="30"/>
          <w:szCs w:val="30"/>
          <w:rtl w:val="0"/>
        </w:rPr>
        <w:t xml:space="preserve">24 tháng</w:t>
      </w:r>
      <w:r w:rsidDel="00000000" w:rsidR="00000000" w:rsidRPr="00000000">
        <w:rPr>
          <w:color w:val="ffff00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ffffff"/>
          <w:sz w:val="30"/>
          <w:szCs w:val="30"/>
          <w:rtl w:val="0"/>
        </w:rPr>
        <w:t xml:space="preserve">đối với khách hàng cá nhân + (cộng) biên độ </w:t>
      </w:r>
      <w:r w:rsidDel="00000000" w:rsidR="00000000" w:rsidRPr="00000000">
        <w:rPr>
          <w:b w:val="1"/>
          <w:color w:val="ffff00"/>
          <w:sz w:val="30"/>
          <w:szCs w:val="30"/>
          <w:rtl w:val="0"/>
        </w:rPr>
        <w:t xml:space="preserve">3,0%/năm</w:t>
      </w:r>
      <w:r w:rsidDel="00000000" w:rsidR="00000000" w:rsidRPr="00000000">
        <w:rPr>
          <w:color w:val="ffff00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6.2. Phí trả nợ trước hạn.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Ap dụng mức phí trả nợ trước hạn đối với khách hàng vay theo văn bản này như sau:</w:t>
      </w:r>
    </w:p>
    <w:tbl>
      <w:tblPr>
        <w:tblStyle w:val="Table1"/>
        <w:tblW w:w="10206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5"/>
        <w:gridCol w:w="4961"/>
        <w:tblGridChange w:id="0">
          <w:tblGrid>
            <w:gridCol w:w="5245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Khách hàng trả nợ trước hạn để chuyển sang vay tại TCTD khác: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ffffff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Các trường hợp KH trả nợ trước hạn còn lại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Trong 24 tháng đầu tiên: 2,0% x (nhân) số tiền trả nợ trước hạn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(ii) Từ tháng thứ 25 đến hết thời gian vay tối thiểu:1,0% x (nhân) số tiền trả nợ trước hạn.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Trong 12 tháng đầu tiên: 1,0% x (nhân) số tiền trả nợ trước hạn;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(ii) Từ tháng thứ 13 đến hết thời gian vay tối thiểu: 0,5% x (nhân) số tiền trả nợ trước hạn.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Sau thời gian vay tối thiểu: Agribank nơi cho vay thực hiện theo quy định hiện hành.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4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6.3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Ưu đãi phí dịch vụ.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a)   Miễn phí quản lý tài khoản năm đầu;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b)  Miễn phí phát hành thẻ (bao gồm thẻ ghi nợ, thẻ tín dụng);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c)   Miễn phí thường niên thẻ năm đầu tiên;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d)  Miễn phí thu hộ thanh toán hóa đơn trên ứng dụng Agribank Plus.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0" w:right="0" w:firstLine="56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Lưu ý: Đối với các Hợp đồng tín dụng đã ký trước ngày 15/08/2025, các đơn vị tiếp tục thực hiện theo nội dung đã thỏa thuận với khách hàng.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0" w:top="284" w:left="85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5824" w:hanging="720"/>
      </w:pPr>
      <w:rPr/>
    </w:lvl>
    <w:lvl w:ilvl="1">
      <w:start w:val="1"/>
      <w:numFmt w:val="lowerLetter"/>
      <w:lvlText w:val="%2."/>
      <w:lvlJc w:val="left"/>
      <w:pPr>
        <w:ind w:left="6184" w:hanging="360"/>
      </w:pPr>
      <w:rPr/>
    </w:lvl>
    <w:lvl w:ilvl="2">
      <w:start w:val="1"/>
      <w:numFmt w:val="lowerRoman"/>
      <w:lvlText w:val="%3."/>
      <w:lvlJc w:val="right"/>
      <w:pPr>
        <w:ind w:left="6904" w:hanging="180"/>
      </w:pPr>
      <w:rPr/>
    </w:lvl>
    <w:lvl w:ilvl="3">
      <w:start w:val="1"/>
      <w:numFmt w:val="decimal"/>
      <w:lvlText w:val="%4."/>
      <w:lvlJc w:val="left"/>
      <w:pPr>
        <w:ind w:left="7624" w:hanging="360"/>
      </w:pPr>
      <w:rPr/>
    </w:lvl>
    <w:lvl w:ilvl="4">
      <w:start w:val="1"/>
      <w:numFmt w:val="lowerLetter"/>
      <w:lvlText w:val="%5."/>
      <w:lvlJc w:val="left"/>
      <w:pPr>
        <w:ind w:left="8344" w:hanging="360"/>
      </w:pPr>
      <w:rPr/>
    </w:lvl>
    <w:lvl w:ilvl="5">
      <w:start w:val="1"/>
      <w:numFmt w:val="lowerRoman"/>
      <w:lvlText w:val="%6."/>
      <w:lvlJc w:val="right"/>
      <w:pPr>
        <w:ind w:left="9064" w:hanging="180"/>
      </w:pPr>
      <w:rPr/>
    </w:lvl>
    <w:lvl w:ilvl="6">
      <w:start w:val="1"/>
      <w:numFmt w:val="decimal"/>
      <w:lvlText w:val="%7."/>
      <w:lvlJc w:val="left"/>
      <w:pPr>
        <w:ind w:left="9784" w:hanging="360"/>
      </w:pPr>
      <w:rPr/>
    </w:lvl>
    <w:lvl w:ilvl="7">
      <w:start w:val="1"/>
      <w:numFmt w:val="lowerLetter"/>
      <w:lvlText w:val="%8."/>
      <w:lvlJc w:val="left"/>
      <w:pPr>
        <w:ind w:left="10504" w:hanging="360"/>
      </w:pPr>
      <w:rPr/>
    </w:lvl>
    <w:lvl w:ilvl="8">
      <w:start w:val="1"/>
      <w:numFmt w:val="lowerRoman"/>
      <w:lvlText w:val="%9."/>
      <w:lvlJc w:val="right"/>
      <w:pPr>
        <w:ind w:left="11224" w:hanging="180"/>
      </w:pPr>
      <w:rPr/>
    </w:lvl>
  </w:abstractNum>
  <w:abstractNum w:abstractNumId="2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Heading7">
    <w:name w:val="heading 7"/>
    <w:basedOn w:val="Normal"/>
    <w:next w:val="Normal"/>
    <w:link w:val="Heading7Char"/>
    <w:qFormat w:val="1"/>
    <w:rsid w:val="00E0663C"/>
    <w:pPr>
      <w:keepNext w:val="1"/>
      <w:spacing w:after="0" w:line="240" w:lineRule="auto"/>
      <w:jc w:val="center"/>
      <w:outlineLvl w:val="6"/>
    </w:pPr>
    <w:rPr>
      <w:rFonts w:ascii=".VnTimeH" w:eastAsia="Times New Roman" w:hAnsi=".VnTimeH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0663C"/>
    <w:rPr>
      <w:rFonts w:ascii=".VnTime" w:cs="Times New Roman" w:eastAsia="Times New Roman" w:hAnsi=".VnTime"/>
      <w:sz w:val="28"/>
      <w:szCs w:val="24"/>
    </w:rPr>
  </w:style>
  <w:style w:type="character" w:styleId="Heading7Char" w:customStyle="1">
    <w:name w:val="Heading 7 Char"/>
    <w:basedOn w:val="DefaultParagraphFont"/>
    <w:link w:val="Heading7"/>
    <w:rsid w:val="00E0663C"/>
    <w:rPr>
      <w:rFonts w:ascii=".VnTimeH" w:cs="Times New Roman" w:eastAsia="Times New Roman" w:hAnsi=".VnTimeH"/>
      <w:b w:val="1"/>
      <w:bCs w:val="1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7D51A0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7D51A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3722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3722E"/>
    <w:rPr>
      <w:rFonts w:ascii="Tahoma" w:cs="Tahoma" w:hAnsi="Tahoma"/>
      <w:sz w:val="16"/>
      <w:szCs w:val="16"/>
    </w:rPr>
  </w:style>
  <w:style w:type="paragraph" w:styleId="NoSpacing">
    <w:name w:val="No Spacing"/>
    <w:uiPriority w:val="1"/>
    <w:qFormat w:val="1"/>
    <w:rsid w:val="003B554F"/>
    <w:pPr>
      <w:spacing w:after="0" w:line="240" w:lineRule="auto"/>
    </w:pPr>
  </w:style>
  <w:style w:type="character" w:styleId="Bodytext" w:customStyle="1">
    <w:name w:val="Body text_"/>
    <w:link w:val="BodyText2"/>
    <w:rsid w:val="004156D8"/>
    <w:rPr>
      <w:shd w:color="auto" w:fill="ffffff" w:val="clear"/>
    </w:rPr>
  </w:style>
  <w:style w:type="paragraph" w:styleId="BodyText2" w:customStyle="1">
    <w:name w:val="Body Text2"/>
    <w:basedOn w:val="Normal"/>
    <w:link w:val="Bodytext"/>
    <w:rsid w:val="004156D8"/>
    <w:pPr>
      <w:widowControl w:val="0"/>
      <w:shd w:color="auto" w:fill="ffffff" w:val="clear"/>
      <w:spacing w:after="120" w:before="420" w:line="365" w:lineRule="exact"/>
      <w:ind w:firstLine="340"/>
      <w:jc w:val="both"/>
    </w:pPr>
  </w:style>
  <w:style w:type="paragraph" w:styleId="BodyTextIndent">
    <w:name w:val="Body Text Indent"/>
    <w:basedOn w:val="Normal"/>
    <w:link w:val="BodyTextIndentChar"/>
    <w:rsid w:val="00E729EC"/>
    <w:pPr>
      <w:spacing w:after="0" w:line="240" w:lineRule="auto"/>
      <w:ind w:firstLine="360"/>
    </w:pPr>
    <w:rPr>
      <w:rFonts w:ascii=".VnTime" w:eastAsia="Times New Roman" w:hAnsi=".VnTime"/>
      <w:spacing w:val="0"/>
      <w:sz w:val="26"/>
      <w:szCs w:val="24"/>
    </w:rPr>
  </w:style>
  <w:style w:type="character" w:styleId="BodyTextIndentChar" w:customStyle="1">
    <w:name w:val="Body Text Indent Char"/>
    <w:basedOn w:val="DefaultParagraphFont"/>
    <w:link w:val="BodyTextIndent"/>
    <w:rsid w:val="00E729EC"/>
    <w:rPr>
      <w:rFonts w:ascii=".VnTime" w:eastAsia="Times New Roman" w:hAnsi=".VnTime"/>
      <w:spacing w:val="0"/>
      <w:sz w:val="26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gPQ1ccGx4z2RBDlUYcLxNMbRg==">CgMxLjAyDmguOGhxaGhjY3l6eThnOAByITFlaEhQa3lGSTU5UmpoOFBnSDdJVlJ4dTVmRlhCd3JseQ==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2023-03-07T09:35:00Z</dcterms:created>
  <dc:creator>quyenduongthiphuong</dc:creator>
</cp:coreProperties>
</file>