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cho vay ngắn hạn ưu đãi lãi suất </w:t>
      </w:r>
    </w:p>
    <w:p w:rsidR="00000000" w:rsidDel="00000000" w:rsidP="00000000" w:rsidRDefault="00000000" w:rsidRPr="00000000" w14:paraId="00000004">
      <w:pPr>
        <w:spacing w:after="0" w:line="240" w:lineRule="auto"/>
        <w:jc w:val="center"/>
        <w:rPr>
          <w:b w:val="1"/>
          <w:color w:val="ffff00"/>
          <w:sz w:val="40"/>
          <w:szCs w:val="40"/>
        </w:rPr>
      </w:pPr>
      <w:r w:rsidDel="00000000" w:rsidR="00000000" w:rsidRPr="00000000">
        <w:rPr>
          <w:b w:val="1"/>
          <w:color w:val="ffff00"/>
          <w:sz w:val="40"/>
          <w:szCs w:val="40"/>
          <w:rtl w:val="0"/>
        </w:rPr>
        <w:t xml:space="preserve">KHCN phục vụ hoạt động SXKD </w:t>
      </w:r>
    </w:p>
    <w:p w:rsidR="00000000" w:rsidDel="00000000" w:rsidP="00000000" w:rsidRDefault="00000000" w:rsidRPr="00000000" w14:paraId="00000005">
      <w:pPr>
        <w:spacing w:after="0" w:line="240" w:lineRule="auto"/>
        <w:jc w:val="center"/>
        <w:rPr>
          <w:b w:val="1"/>
          <w:i w:val="1"/>
          <w:color w:val="ffffff"/>
          <w:sz w:val="26"/>
          <w:szCs w:val="26"/>
        </w:rPr>
      </w:pPr>
      <w:bookmarkStart w:colFirst="0" w:colLast="0" w:name="_heading=h.txx0cxey7hno" w:id="0"/>
      <w:bookmarkEnd w:id="0"/>
      <w:r w:rsidDel="00000000" w:rsidR="00000000" w:rsidRPr="00000000">
        <w:rPr>
          <w:b w:val="1"/>
          <w:i w:val="1"/>
          <w:color w:val="ffffff"/>
          <w:sz w:val="26"/>
          <w:szCs w:val="26"/>
          <w:rtl w:val="0"/>
        </w:rPr>
        <w:t xml:space="preserve">(VB 1624/NHNo.BTPHCM-KHQLRR;</w:t>
      </w:r>
    </w:p>
    <w:p w:rsidR="00000000" w:rsidDel="00000000" w:rsidP="00000000" w:rsidRDefault="00000000" w:rsidRPr="00000000" w14:paraId="00000006">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20/07/2025)</w:t>
      </w:r>
    </w:p>
    <w:p w:rsidR="00000000" w:rsidDel="00000000" w:rsidP="00000000" w:rsidRDefault="00000000" w:rsidRPr="00000000" w14:paraId="00000007">
      <w:pPr>
        <w:spacing w:after="0" w:line="240" w:lineRule="auto"/>
        <w:jc w:val="center"/>
        <w:rPr>
          <w:b w:val="1"/>
          <w:color w:val="ffffff"/>
          <w:sz w:val="14"/>
          <w:szCs w:val="14"/>
        </w:rPr>
      </w:pPr>
      <w:r w:rsidDel="00000000" w:rsidR="00000000" w:rsidRPr="00000000">
        <w:rPr>
          <w:rtl w:val="0"/>
        </w:rPr>
      </w:r>
    </w:p>
    <w:p w:rsidR="00000000" w:rsidDel="00000000" w:rsidP="00000000" w:rsidRDefault="00000000" w:rsidRPr="00000000" w14:paraId="00000008">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Áp dụng đối với các khoản giải ngân phát sinh từ ngày </w:t>
      </w:r>
      <w:r w:rsidDel="00000000" w:rsidR="00000000" w:rsidRPr="00000000">
        <w:rPr>
          <w:color w:val="ffff00"/>
          <w:sz w:val="30"/>
          <w:szCs w:val="30"/>
          <w:rtl w:val="0"/>
        </w:rPr>
        <w:t xml:space="preserve">20/07/2025 đến 30/09/2025 </w:t>
      </w:r>
      <w:r w:rsidDel="00000000" w:rsidR="00000000" w:rsidRPr="00000000">
        <w:rPr>
          <w:color w:val="ffffff"/>
          <w:sz w:val="30"/>
          <w:szCs w:val="30"/>
          <w:rtl w:val="0"/>
        </w:rPr>
        <w:t xml:space="preserve">hoặc đến khi đạt quy mô của Chương trình.</w:t>
      </w:r>
    </w:p>
    <w:p w:rsidR="00000000" w:rsidDel="00000000" w:rsidP="00000000" w:rsidRDefault="00000000" w:rsidRPr="00000000" w14:paraId="00000009">
      <w:pPr>
        <w:spacing w:after="0" w:line="269" w:lineRule="auto"/>
        <w:ind w:firstLine="567"/>
        <w:jc w:val="both"/>
        <w:rPr>
          <w:color w:val="ffffff"/>
          <w:sz w:val="30"/>
          <w:szCs w:val="30"/>
        </w:rPr>
      </w:pPr>
      <w:r w:rsidDel="00000000" w:rsidR="00000000" w:rsidRPr="00000000">
        <w:rPr>
          <w:b w:val="1"/>
          <w:color w:val="ffff00"/>
          <w:sz w:val="30"/>
          <w:szCs w:val="30"/>
          <w:rtl w:val="0"/>
        </w:rPr>
        <w:t xml:space="preserve">2. Mục đích cho vay</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Cho vay vốn ngắn hạn phục vụ hoạt động sản xuất kinh doanh.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Đối tượng áp dụng.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a) Khách hàng không có dư nợ vay tại Agribank trong vòng 30 (ba mươi) ngày gần nhất tính đến thời điểm ký kết Hợp đồng tín dụng;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b) Khách hàng đã ký Hợp đồng tín dụng để vay vốn ngắn hạn phục vụ hoạt động SXKD trước thời điểm triển khai Chương trình (bao gồm vay từng lần, vay theo hạn mức) nhưng chưa giải ngân hết;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c) Khách hàng đang có dư nợ tại Agribank có nhu cầu vay tăng thêm để phục vụ phương án SXKD mới hoặc mở rộng;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d) Chương trình không áp dụng đối với khách hàng trả nợ trước hạn một phần hoặc toàn bộ khoản vay tại Agribank để vay khoản vay mới hưởng lãi suất ưu đãi của Chương trình này.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Đồng tiền cho vay, trả nợ</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Bằng đồng Việt Nam (VND).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Loại cho vay và phương thức cho vay.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Loại cho vay: Ngắn hạn.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 Phương thức cho vay: Cho vay từng lần, cho vay theo hạn mức, cho vay theo hạn mức thấu chi trên tài khoản thanh toán.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6. Lãi suất cho vay.</w:t>
      </w:r>
    </w:p>
    <w:tbl>
      <w:tblPr>
        <w:tblStyle w:val="Table1"/>
        <w:tblW w:w="103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3072"/>
        <w:gridCol w:w="2410"/>
        <w:gridCol w:w="2118"/>
        <w:gridCol w:w="2174"/>
        <w:tblGridChange w:id="0">
          <w:tblGrid>
            <w:gridCol w:w="563"/>
            <w:gridCol w:w="3072"/>
            <w:gridCol w:w="2410"/>
            <w:gridCol w:w="2118"/>
            <w:gridCol w:w="2174"/>
          </w:tblGrid>
        </w:tblGridChange>
      </w:tblGrid>
      <w:tr>
        <w:trPr>
          <w:cantSplit w:val="0"/>
          <w:trHeight w:val="20" w:hRule="atLeast"/>
          <w:tblHeader w:val="1"/>
        </w:trPr>
        <w:tc>
          <w:tcPr>
            <w:vMerge w:val="restart"/>
            <w:shd w:fill="ffffff"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center"/>
              <w:rPr>
                <w:rFonts w:ascii="Times New Roman" w:cs="Times New Roman" w:eastAsia="Times New Roman" w:hAnsi="Times New Roman"/>
                <w:b w:val="1"/>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6"/>
                <w:szCs w:val="26"/>
                <w:u w:val="none"/>
                <w:shd w:fill="auto" w:val="clear"/>
                <w:vertAlign w:val="baseline"/>
                <w:rtl w:val="0"/>
              </w:rPr>
              <w:t xml:space="preserve">TT</w:t>
            </w:r>
          </w:p>
        </w:tc>
        <w:tc>
          <w:tcPr>
            <w:vMerge w:val="restart"/>
            <w:shd w:fill="ffffff"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left"/>
              <w:rPr>
                <w:rFonts w:ascii="Times New Roman" w:cs="Times New Roman" w:eastAsia="Times New Roman" w:hAnsi="Times New Roman"/>
                <w:b w:val="1"/>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6"/>
                <w:szCs w:val="26"/>
                <w:u w:val="none"/>
                <w:shd w:fill="auto" w:val="clear"/>
                <w:vertAlign w:val="baseline"/>
                <w:rtl w:val="0"/>
              </w:rPr>
              <w:t xml:space="preserve">Đối tượng</w:t>
            </w:r>
          </w:p>
        </w:tc>
        <w:tc>
          <w:tcPr>
            <w:gridSpan w:val="3"/>
            <w:shd w:fill="ffffff"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center"/>
              <w:rPr>
                <w:rFonts w:ascii="Times New Roman" w:cs="Times New Roman" w:eastAsia="Times New Roman" w:hAnsi="Times New Roman"/>
                <w:b w:val="1"/>
                <w:i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6"/>
                <w:szCs w:val="26"/>
                <w:u w:val="none"/>
                <w:shd w:fill="auto" w:val="clear"/>
                <w:vertAlign w:val="baseline"/>
                <w:rtl w:val="0"/>
              </w:rPr>
              <w:t xml:space="preserve">Lãi suất cho vay (%/năm)</w:t>
            </w:r>
          </w:p>
        </w:tc>
      </w:tr>
      <w:tr>
        <w:trPr>
          <w:cantSplit w:val="0"/>
          <w:trHeight w:val="20" w:hRule="atLeast"/>
          <w:tblHeader w:val="0"/>
        </w:trPr>
        <w:tc>
          <w:tcPr>
            <w:vMerge w:val="continue"/>
            <w:shd w:fill="ffffff"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ff0000"/>
                <w:sz w:val="26"/>
                <w:szCs w:val="26"/>
                <w:u w:val="none"/>
                <w:shd w:fill="auto" w:val="clear"/>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ff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425"/>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Đối tượng 1</w:t>
            </w:r>
          </w:p>
        </w:tc>
        <w:tc>
          <w:tcPr>
            <w:shd w:fill="ffffff"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Đối tượng 2</w:t>
            </w:r>
          </w:p>
        </w:tc>
        <w:tc>
          <w:tcPr>
            <w:shd w:fill="ffffff"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Đối tượng 3</w:t>
            </w:r>
          </w:p>
        </w:tc>
      </w:tr>
      <w:tr>
        <w:trPr>
          <w:cantSplit w:val="0"/>
          <w:trHeight w:val="20" w:hRule="atLeast"/>
          <w:tblHeader w:val="0"/>
        </w:trPr>
        <w:tc>
          <w:tcPr>
            <w:shd w:fill="ffffff"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Mã ưu đãi phí</w:t>
            </w:r>
          </w:p>
        </w:tc>
        <w:tc>
          <w:tcPr>
            <w:shd w:fill="ffffff"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CN-9838-2025-TH1</w:t>
            </w:r>
          </w:p>
        </w:tc>
        <w:tc>
          <w:tcPr>
            <w:shd w:fill="ffffff"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32"/>
              <w:jc w:val="center"/>
              <w:rPr>
                <w:rFonts w:ascii="Times New Roman" w:cs="Times New Roman" w:eastAsia="Times New Roman" w:hAnsi="Times New Roman"/>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CN-9838-2025-TH2</w:t>
            </w:r>
          </w:p>
        </w:tc>
        <w:tc>
          <w:tcPr>
            <w:shd w:fill="ffffff"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CN-9838-2025-TH3</w:t>
            </w:r>
          </w:p>
        </w:tc>
      </w:tr>
      <w:tr>
        <w:trPr>
          <w:cantSplit w:val="0"/>
          <w:trHeight w:val="20" w:hRule="atLeast"/>
          <w:tblHeader w:val="0"/>
        </w:trPr>
        <w:tc>
          <w:tcPr>
            <w:shd w:fill="d9d9d9"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1</w:t>
            </w:r>
          </w:p>
        </w:tc>
        <w:tc>
          <w:tcPr>
            <w:gridSpan w:val="4"/>
            <w:shd w:fill="d9d9d9"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Cho vay từng lần, hạn mức tín dụng</w:t>
            </w:r>
          </w:p>
        </w:tc>
      </w:tr>
      <w:tr>
        <w:trPr>
          <w:cantSplit w:val="0"/>
          <w:trHeight w:val="268" w:hRule="atLeast"/>
          <w:tblHeader w:val="0"/>
        </w:trPr>
        <w:tc>
          <w:tcPr>
            <w:shd w:fill="ffffff"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w:t>
            </w:r>
          </w:p>
        </w:tc>
        <w:tc>
          <w:tcPr>
            <w:shd w:fill="ffffff"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Đến 03 tháng</w:t>
            </w:r>
          </w:p>
        </w:tc>
        <w:tc>
          <w:tcPr>
            <w:shd w:fill="ffffff"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5,0%</w:t>
            </w:r>
          </w:p>
        </w:tc>
        <w:tc>
          <w:tcPr>
            <w:shd w:fill="ffffff"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5,2%</w:t>
            </w:r>
          </w:p>
        </w:tc>
        <w:tc>
          <w:tcPr>
            <w:shd w:fill="ffffff"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5,5%</w:t>
            </w:r>
          </w:p>
        </w:tc>
      </w:tr>
      <w:tr>
        <w:trPr>
          <w:cantSplit w:val="0"/>
          <w:trHeight w:val="20" w:hRule="atLeast"/>
          <w:tblHeader w:val="0"/>
        </w:trPr>
        <w:tc>
          <w:tcPr>
            <w:shd w:fill="ffffff"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w:t>
            </w:r>
          </w:p>
        </w:tc>
        <w:tc>
          <w:tcPr>
            <w:shd w:fill="ffffff"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Từ trên 3T đến 6T</w:t>
            </w:r>
          </w:p>
        </w:tc>
        <w:tc>
          <w:tcPr>
            <w:shd w:fill="ffffff"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5,5%</w:t>
            </w:r>
          </w:p>
        </w:tc>
        <w:tc>
          <w:tcPr>
            <w:shd w:fill="ffffff"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5,7%</w:t>
            </w:r>
          </w:p>
        </w:tc>
        <w:tc>
          <w:tcPr>
            <w:shd w:fill="ffffff"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6,0%</w:t>
            </w:r>
          </w:p>
        </w:tc>
      </w:tr>
      <w:tr>
        <w:trPr>
          <w:cantSplit w:val="0"/>
          <w:trHeight w:val="20" w:hRule="atLeast"/>
          <w:tblHeader w:val="0"/>
        </w:trPr>
        <w:tc>
          <w:tcPr>
            <w:shd w:fill="ffffff"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w:t>
            </w:r>
          </w:p>
        </w:tc>
        <w:tc>
          <w:tcPr>
            <w:shd w:fill="ffffff"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Từ trên 6T đến 12T</w:t>
            </w:r>
          </w:p>
        </w:tc>
        <w:tc>
          <w:tcPr>
            <w:shd w:fill="ffffff"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6,0%</w:t>
            </w:r>
          </w:p>
        </w:tc>
        <w:tc>
          <w:tcPr>
            <w:shd w:fill="ffffff"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6,2%</w:t>
            </w:r>
          </w:p>
        </w:tc>
        <w:tc>
          <w:tcPr>
            <w:shd w:fill="ffffff"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6,5%</w:t>
            </w:r>
          </w:p>
        </w:tc>
      </w:tr>
      <w:tr>
        <w:trPr>
          <w:cantSplit w:val="0"/>
          <w:trHeight w:val="20" w:hRule="atLeast"/>
          <w:tblHeader w:val="0"/>
        </w:trPr>
        <w:tc>
          <w:tcPr>
            <w:shd w:fill="d9d9d9"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0"/>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2 </w:t>
            </w:r>
          </w:p>
        </w:tc>
        <w:tc>
          <w:tcPr>
            <w:gridSpan w:val="4"/>
            <w:shd w:fill="d9d9d9"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Cho vay theo hạn mức thấu chi</w:t>
            </w:r>
          </w:p>
        </w:tc>
      </w:tr>
      <w:tr>
        <w:trPr>
          <w:cantSplit w:val="0"/>
          <w:trHeight w:val="20" w:hRule="atLeast"/>
          <w:tblHeader w:val="0"/>
        </w:trPr>
        <w:tc>
          <w:tcPr>
            <w:shd w:fill="ffffff"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w:t>
            </w:r>
          </w:p>
        </w:tc>
        <w:tc>
          <w:tcPr>
            <w:shd w:fill="ffffff"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Đến 03 tháng</w:t>
            </w:r>
          </w:p>
        </w:tc>
        <w:tc>
          <w:tcPr>
            <w:shd w:fill="ffffff"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5,5%</w:t>
            </w:r>
          </w:p>
        </w:tc>
        <w:tc>
          <w:tcPr>
            <w:shd w:fill="ffffff"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5,7%</w:t>
            </w:r>
          </w:p>
        </w:tc>
        <w:tc>
          <w:tcPr>
            <w:shd w:fill="ffffff"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6,0%</w:t>
            </w:r>
          </w:p>
        </w:tc>
      </w:tr>
      <w:tr>
        <w:trPr>
          <w:cantSplit w:val="0"/>
          <w:trHeight w:val="20" w:hRule="atLeast"/>
          <w:tblHeader w:val="0"/>
        </w:trPr>
        <w:tc>
          <w:tcPr>
            <w:shd w:fill="ffffff"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w:t>
            </w:r>
          </w:p>
        </w:tc>
        <w:tc>
          <w:tcPr>
            <w:shd w:fill="ffffff"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Từ trên 3T đến 6T</w:t>
            </w:r>
          </w:p>
        </w:tc>
        <w:tc>
          <w:tcPr>
            <w:shd w:fill="ffffff"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5,5%</w:t>
            </w:r>
          </w:p>
        </w:tc>
        <w:tc>
          <w:tcPr>
            <w:shd w:fill="ffffff"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5,7%</w:t>
            </w:r>
          </w:p>
        </w:tc>
        <w:tc>
          <w:tcPr>
            <w:shd w:fill="ffffff"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6,0%</w:t>
            </w:r>
          </w:p>
        </w:tc>
      </w:tr>
      <w:tr>
        <w:trPr>
          <w:cantSplit w:val="0"/>
          <w:trHeight w:val="20" w:hRule="atLeast"/>
          <w:tblHeader w:val="0"/>
        </w:trPr>
        <w:tc>
          <w:tcPr>
            <w:shd w:fill="ffffff"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w:t>
            </w:r>
          </w:p>
        </w:tc>
        <w:tc>
          <w:tcPr>
            <w:shd w:fill="ffffff"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Từ trên 6T đến 12T</w:t>
            </w:r>
          </w:p>
        </w:tc>
        <w:tc>
          <w:tcPr>
            <w:shd w:fill="ffffff"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5,5%</w:t>
            </w:r>
          </w:p>
        </w:tc>
        <w:tc>
          <w:tcPr>
            <w:shd w:fill="ffffff"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5,7%</w:t>
            </w:r>
          </w:p>
        </w:tc>
        <w:tc>
          <w:tcPr>
            <w:shd w:fill="ffffff"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6,0%</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7"/>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8"/>
          <w:szCs w:val="28"/>
          <w:u w:val="none"/>
          <w:shd w:fill="auto" w:val="clear"/>
          <w:vertAlign w:val="baseline"/>
          <w:rtl w:val="0"/>
        </w:rPr>
        <w:t xml:space="preserve">Đối tượng 1: </w:t>
      </w: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Khách hàng có số dư tiền gửi không kỳ hạn bình quân trên TKTT tại Agribank nơi cho vay từ 100 triệu đồng trở lên trong thời gian được hưởng lãi suất cho vay ưu đãi (bao gồm tiền gửi bằng VND và USD/ngoại tệ quy đổi tương đương).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7"/>
        <w:jc w:val="both"/>
        <w:rPr>
          <w:rFonts w:ascii="Times New Roman" w:cs="Times New Roman" w:eastAsia="Times New Roman" w:hAnsi="Times New Roman"/>
          <w:b w:val="1"/>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8"/>
          <w:szCs w:val="28"/>
          <w:u w:val="none"/>
          <w:shd w:fill="auto" w:val="clear"/>
          <w:vertAlign w:val="baseline"/>
          <w:rtl w:val="0"/>
        </w:rPr>
        <w:t xml:space="preserve">Đối tượng 2: </w:t>
      </w: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Khách hàng có số dư tiền gửi không kỳ hạn bình quân trên TKTT tại Agribank nơi cho vay từ 50 triệu đồng đến dưới 100 triệu đồng trong thời gian được hưởng lãi suất cho vay ưu đãi (bao gồm tiền gửi bằng VND và USD/ngoại tệ quy đổi tương đương).</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7"/>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28"/>
          <w:szCs w:val="28"/>
          <w:u w:val="none"/>
          <w:shd w:fill="auto" w:val="clear"/>
          <w:vertAlign w:val="baseline"/>
          <w:rtl w:val="0"/>
        </w:rPr>
        <w:t xml:space="preserve">Đối tượng 3: </w:t>
      </w: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Khách hàng không thuộc đối tượng 1 và đối tượng 2 nêu trên.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7. Điều kiện cho vay.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Khách hàng vay vốn đáp ứng đầy đủ các điều kiện cho vay theo quy định hiện hành của Agribank, ngoài ra khách hàng đáp ứng thêm các điều kiện sau:</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a) Khách hàng được xếp hạng từ A1 đến A12 theo tiêu chí xếp hạng tín dụng nội bộ của Agribank;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b) Khách hàng không có nợ xấu, nợ đã xử lý rủi ro, nợ đã bán cho VAMC, DATC tại Agribank và các tổ chức tín dụng khác trong 01 (một) năm gần nhất tính đến thời điểm quyết định cho vay.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c) Trong thời gian tham gia Chương trình, Khách hàng cam kết sử dụng tối thiểu 02 dịch vụ trong các nhóm dịch vụ sau: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(i) Nhóm 1: Sản phẩm tài khoản thanh toán: tài khoản thanh toán số đẹp.</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(ii) Nhóm 2: Sản phẩm tiền gửi: tiền gửi tiết kiệm, tiền gửi có kỳ hạn…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(iii) Nhóm 3: Dịch vụ thẻ: thẻ ghi nợ, thẻ tín dụng.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(iv) Nhóm 4: Dịch vụ thu hộ, thanh toán hóa đơn qua Agribank.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(v) Nhóm 5: Dịch vụ Ngân hàng điện tử: Agribank Plus, thông báo biến động số dư trên Agribank Plus (OTT)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1"/>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ffff"/>
          <w:sz w:val="28"/>
          <w:szCs w:val="28"/>
          <w:u w:val="none"/>
          <w:shd w:fill="auto" w:val="clear"/>
          <w:vertAlign w:val="baseline"/>
          <w:rtl w:val="0"/>
        </w:rPr>
        <w:t xml:space="preserve">(Nội dung này được quy định trong Hợp đồng tín dụng/Văn bản sửa đổi, bổ sung Hợp đồng tín dụng).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d) Khuyến khích khách hàng tự nguyện tham gia các sản phẩm của ABIC như bảo an tín dụng, bảo hiểm nhà tư nhân, bảo hiểm cháy nổ, bảo an tài khoản, bảo an chủ thẻ.</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8. Phí trả nợ trước hạn: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Theo biểu phí hiện hành của Giám đốc chi nhánh.</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5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D7T5FpNoxOGKJ0yKEYFD5U2Ew==">CgMxLjAyDmgudHh4MGN4ZXk3aG5vOAByITFrV1VNeWJoLVBMLXdqZk5NS0ZzQ2NRRlZmeW1qUWtFUA==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