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A80000"/>
  <w:body>
    <w:p w:rsidR="00000000" w:rsidDel="00000000" w:rsidP="00000000" w:rsidRDefault="00000000" w:rsidRPr="00000000" w14:paraId="00000001">
      <w:pPr>
        <w:spacing w:after="0" w:line="240" w:lineRule="auto"/>
        <w:rPr/>
      </w:pPr>
      <w:r w:rsidDel="00000000" w:rsidR="00000000" w:rsidRPr="00000000">
        <w:rPr>
          <w:rFonts w:ascii="Calibri" w:cs="Calibri" w:eastAsia="Calibri" w:hAnsi="Calibri"/>
          <w:color w:val="ff0000"/>
          <w:sz w:val="22"/>
          <w:szCs w:val="22"/>
        </w:rPr>
        <w:drawing>
          <wp:inline distB="0" distT="0" distL="0" distR="0">
            <wp:extent cx="2228850" cy="6477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885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color w:val="ff0000"/>
          <w:sz w:val="22"/>
          <w:szCs w:val="22"/>
        </w:rPr>
      </w:pPr>
      <w:r w:rsidDel="00000000" w:rsidR="00000000" w:rsidRPr="00000000">
        <w:rPr>
          <w:b w:val="1"/>
          <w:color w:val="ffffff"/>
          <w:sz w:val="30"/>
          <w:szCs w:val="30"/>
          <w:rtl w:val="0"/>
        </w:rPr>
        <w:t xml:space="preserve">CHI NHÁNH BẮC TPHCM</w:t>
      </w:r>
      <w:r w:rsidDel="00000000" w:rsidR="00000000" w:rsidRPr="00000000">
        <w:rPr>
          <w:rFonts w:ascii="Calibri" w:cs="Calibri" w:eastAsia="Calibri" w:hAnsi="Calibri"/>
          <w:color w:val="ff0000"/>
          <w:sz w:val="22"/>
          <w:szCs w:val="22"/>
          <w:rtl w:val="0"/>
        </w:rPr>
        <w:t xml:space="preserve"> </w:t>
      </w:r>
    </w:p>
    <w:p w:rsidR="00000000" w:rsidDel="00000000" w:rsidP="00000000" w:rsidRDefault="00000000" w:rsidRPr="00000000" w14:paraId="00000003">
      <w:pPr>
        <w:spacing w:after="0" w:line="240" w:lineRule="auto"/>
        <w:jc w:val="center"/>
        <w:rPr>
          <w:b w:val="1"/>
          <w:color w:val="ffff00"/>
          <w:sz w:val="40"/>
          <w:szCs w:val="40"/>
        </w:rPr>
      </w:pPr>
      <w:r w:rsidDel="00000000" w:rsidR="00000000" w:rsidRPr="00000000">
        <w:rPr>
          <w:b w:val="1"/>
          <w:color w:val="ffff00"/>
          <w:sz w:val="40"/>
          <w:szCs w:val="40"/>
          <w:rtl w:val="0"/>
        </w:rPr>
        <w:t xml:space="preserve">Chương trình cho vay ưu đãi lãi suất </w:t>
      </w:r>
    </w:p>
    <w:p w:rsidR="00000000" w:rsidDel="00000000" w:rsidP="00000000" w:rsidRDefault="00000000" w:rsidRPr="00000000" w14:paraId="00000004">
      <w:pPr>
        <w:spacing w:after="0" w:line="240" w:lineRule="auto"/>
        <w:jc w:val="center"/>
        <w:rPr>
          <w:b w:val="1"/>
          <w:color w:val="ffff00"/>
          <w:sz w:val="36"/>
          <w:szCs w:val="36"/>
        </w:rPr>
      </w:pPr>
      <w:r w:rsidDel="00000000" w:rsidR="00000000" w:rsidRPr="00000000">
        <w:rPr>
          <w:b w:val="1"/>
          <w:color w:val="ffff00"/>
          <w:sz w:val="36"/>
          <w:szCs w:val="36"/>
          <w:rtl w:val="0"/>
        </w:rPr>
        <w:t xml:space="preserve">đối với KHCN là người trẻ dưới 35 tuổi mua NOXH</w:t>
      </w:r>
    </w:p>
    <w:p w:rsidR="00000000" w:rsidDel="00000000" w:rsidP="00000000" w:rsidRDefault="00000000" w:rsidRPr="00000000" w14:paraId="00000005">
      <w:pPr>
        <w:spacing w:after="0" w:line="240" w:lineRule="auto"/>
        <w:jc w:val="center"/>
        <w:rPr>
          <w:b w:val="1"/>
          <w:i w:val="1"/>
          <w:color w:val="ffffff"/>
          <w:sz w:val="26"/>
          <w:szCs w:val="26"/>
        </w:rPr>
      </w:pPr>
      <w:r w:rsidDel="00000000" w:rsidR="00000000" w:rsidRPr="00000000">
        <w:rPr>
          <w:b w:val="1"/>
          <w:i w:val="1"/>
          <w:color w:val="ffffff"/>
          <w:sz w:val="26"/>
          <w:szCs w:val="26"/>
          <w:rtl w:val="0"/>
        </w:rPr>
        <w:t xml:space="preserve">(VB 1006A, 1169A/NHNo.BTPHCM-KHQLRR;</w:t>
      </w:r>
    </w:p>
    <w:p w:rsidR="00000000" w:rsidDel="00000000" w:rsidP="00000000" w:rsidRDefault="00000000" w:rsidRPr="00000000" w14:paraId="00000006">
      <w:pPr>
        <w:spacing w:after="0" w:line="240" w:lineRule="auto"/>
        <w:jc w:val="center"/>
        <w:rPr>
          <w:b w:val="1"/>
          <w:i w:val="1"/>
          <w:color w:val="ffffff"/>
          <w:sz w:val="26"/>
          <w:szCs w:val="26"/>
        </w:rPr>
      </w:pPr>
      <w:r w:rsidDel="00000000" w:rsidR="00000000" w:rsidRPr="00000000">
        <w:rPr>
          <w:b w:val="1"/>
          <w:i w:val="1"/>
          <w:color w:val="ffffff"/>
          <w:sz w:val="26"/>
          <w:szCs w:val="26"/>
          <w:rtl w:val="0"/>
        </w:rPr>
        <w:t xml:space="preserve">Hiệu lực từ ngày 30/05/2025)</w:t>
      </w:r>
    </w:p>
    <w:p w:rsidR="00000000" w:rsidDel="00000000" w:rsidP="00000000" w:rsidRDefault="00000000" w:rsidRPr="00000000" w14:paraId="00000007">
      <w:pPr>
        <w:spacing w:after="0" w:line="240" w:lineRule="auto"/>
        <w:jc w:val="center"/>
        <w:rPr>
          <w:b w:val="1"/>
          <w:color w:val="ffff00"/>
          <w:sz w:val="14"/>
          <w:szCs w:val="14"/>
        </w:rPr>
      </w:pPr>
      <w:r w:rsidDel="00000000" w:rsidR="00000000" w:rsidRPr="00000000">
        <w:rPr>
          <w:rtl w:val="0"/>
        </w:rPr>
      </w:r>
    </w:p>
    <w:p w:rsidR="00000000" w:rsidDel="00000000" w:rsidP="00000000" w:rsidRDefault="00000000" w:rsidRPr="00000000" w14:paraId="00000008">
      <w:pPr>
        <w:spacing w:after="0" w:line="269" w:lineRule="auto"/>
        <w:ind w:firstLine="567"/>
        <w:jc w:val="both"/>
        <w:rPr>
          <w:color w:val="ffffff"/>
          <w:sz w:val="30"/>
          <w:szCs w:val="30"/>
        </w:rPr>
      </w:pPr>
      <w:r w:rsidDel="00000000" w:rsidR="00000000" w:rsidRPr="00000000">
        <w:rPr>
          <w:b w:val="1"/>
          <w:color w:val="ffff00"/>
          <w:sz w:val="30"/>
          <w:szCs w:val="30"/>
          <w:rtl w:val="0"/>
        </w:rPr>
        <w:t xml:space="preserve">1. Thời gian triển khai</w:t>
      </w:r>
      <w:r w:rsidDel="00000000" w:rsidR="00000000" w:rsidRPr="00000000">
        <w:rPr>
          <w:color w:val="ffff00"/>
          <w:sz w:val="30"/>
          <w:szCs w:val="30"/>
          <w:rtl w:val="0"/>
        </w:rPr>
        <w:t xml:space="preserve">: </w:t>
      </w:r>
      <w:r w:rsidDel="00000000" w:rsidR="00000000" w:rsidRPr="00000000">
        <w:rPr>
          <w:color w:val="ffffff"/>
          <w:sz w:val="30"/>
          <w:szCs w:val="30"/>
          <w:rtl w:val="0"/>
        </w:rPr>
        <w:t xml:space="preserve">Áp dụng đối với các khoản giải ngân kể từ ngày</w:t>
      </w:r>
      <w:r w:rsidDel="00000000" w:rsidR="00000000" w:rsidRPr="00000000">
        <w:rPr>
          <w:sz w:val="30"/>
          <w:szCs w:val="30"/>
          <w:rtl w:val="0"/>
        </w:rPr>
        <w:t xml:space="preserve"> </w:t>
      </w:r>
      <w:r w:rsidDel="00000000" w:rsidR="00000000" w:rsidRPr="00000000">
        <w:rPr>
          <w:b w:val="1"/>
          <w:color w:val="ffff00"/>
          <w:sz w:val="30"/>
          <w:szCs w:val="30"/>
          <w:rtl w:val="0"/>
        </w:rPr>
        <w:t xml:space="preserve">30/5/2025 đến hết ngày 31/12/2030</w:t>
      </w:r>
      <w:r w:rsidDel="00000000" w:rsidR="00000000" w:rsidRPr="00000000">
        <w:rPr>
          <w:color w:val="ffffff"/>
          <w:sz w:val="30"/>
          <w:szCs w:val="30"/>
          <w:rtl w:val="0"/>
        </w:rPr>
        <w:t xml:space="preserve">. Chương trình có thể kết thúc sớm hơn hoặc gia hạn theo quyết định của Tổng Giám đốc.</w:t>
      </w:r>
    </w:p>
    <w:p w:rsidR="00000000" w:rsidDel="00000000" w:rsidP="00000000" w:rsidRDefault="00000000" w:rsidRPr="00000000" w14:paraId="00000009">
      <w:pPr>
        <w:spacing w:after="0" w:line="269" w:lineRule="auto"/>
        <w:ind w:firstLine="567"/>
        <w:jc w:val="both"/>
        <w:rPr>
          <w:color w:val="ffffff"/>
          <w:sz w:val="30"/>
          <w:szCs w:val="30"/>
        </w:rPr>
      </w:pPr>
      <w:r w:rsidDel="00000000" w:rsidR="00000000" w:rsidRPr="00000000">
        <w:rPr>
          <w:b w:val="1"/>
          <w:color w:val="ffff00"/>
          <w:sz w:val="30"/>
          <w:szCs w:val="30"/>
          <w:rtl w:val="0"/>
        </w:rPr>
        <w:t xml:space="preserve">2. Mục đích cho vay</w:t>
      </w:r>
      <w:r w:rsidDel="00000000" w:rsidR="00000000" w:rsidRPr="00000000">
        <w:rPr>
          <w:color w:val="ffff00"/>
          <w:sz w:val="30"/>
          <w:szCs w:val="30"/>
          <w:rtl w:val="0"/>
        </w:rPr>
        <w:t xml:space="preserve">: </w:t>
      </w:r>
      <w:r w:rsidDel="00000000" w:rsidR="00000000" w:rsidRPr="00000000">
        <w:rPr>
          <w:color w:val="ffffff"/>
          <w:sz w:val="30"/>
          <w:szCs w:val="30"/>
          <w:rtl w:val="0"/>
        </w:rPr>
        <w:t xml:space="preserve">Khách hàng cá nhân là người trẻ dưới 35 tuổi có nhu cầu vay vốn mua nhà ở xã hội tại các dự án nhà ở xã hội, thuộc danh mục dự án do Bộ xây dựng/Ủy ban nhân dân tỉnh, thành phố công bố theo quy định.</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3. Đồng tiền cho vay, trả nợ</w:t>
      </w:r>
      <w:r w:rsidDel="00000000" w:rsidR="00000000" w:rsidRPr="00000000">
        <w:rPr>
          <w:rFonts w:ascii="Times New Roman" w:cs="Times New Roman" w:eastAsia="Times New Roman" w:hAnsi="Times New Roman"/>
          <w:b w:val="0"/>
          <w:i w:val="0"/>
          <w:smallCaps w:val="0"/>
          <w:strike w:val="0"/>
          <w:color w:val="ffff00"/>
          <w:sz w:val="30"/>
          <w:szCs w:val="3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 Bằng đồng Việt Nam (VND).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1"/>
          <w:i w:val="0"/>
          <w:smallCaps w:val="0"/>
          <w:strike w:val="0"/>
          <w:color w:val="ffff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4. Loại cho vay và phương thức cho vay.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a) Loại cho vay: Ngắn, trung và dài hạn;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b) Phương thức cho vay: Cho vay từng lần.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1"/>
          <w:i w:val="0"/>
          <w:smallCaps w:val="0"/>
          <w:strike w:val="0"/>
          <w:color w:val="ffff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5. Lãi suất cho vay.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7"/>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a) Ap dụng LSCV ưu đãi: Tối đa 15 năm kể từ ngày giải ngân nhưng không quá thời hạn cho vay tại thỏa thuận cho vay ban đầu.</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562"/>
        <w:jc w:val="both"/>
        <w:rPr>
          <w:rFonts w:ascii="Times New Roman" w:cs="Times New Roman" w:eastAsia="Times New Roman" w:hAnsi="Times New Roman"/>
          <w:b w:val="1"/>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00"/>
          <w:sz w:val="28"/>
          <w:szCs w:val="28"/>
          <w:u w:val="none"/>
          <w:shd w:fill="auto" w:val="clear"/>
          <w:vertAlign w:val="baseline"/>
          <w:rtl w:val="0"/>
        </w:rPr>
        <w:t xml:space="preserve">+   Trong 05 năm đầu: </w:t>
      </w:r>
      <w:r w:rsidDel="00000000" w:rsidR="00000000" w:rsidRPr="00000000">
        <w:rPr>
          <w:rFonts w:ascii="Times New Roman" w:cs="Times New Roman" w:eastAsia="Times New Roman" w:hAnsi="Times New Roman"/>
          <w:b w:val="0"/>
          <w:i w:val="0"/>
          <w:smallCaps w:val="0"/>
          <w:strike w:val="0"/>
          <w:color w:val="ffffff"/>
          <w:sz w:val="28"/>
          <w:szCs w:val="28"/>
          <w:u w:val="none"/>
          <w:shd w:fill="auto" w:val="clear"/>
          <w:vertAlign w:val="baseline"/>
          <w:rtl w:val="0"/>
        </w:rPr>
        <w:t xml:space="preserve">Áp dụng LSCV thấp hơn 02%  LSCV trung dài hạn VND bình quân của 04 ngân hàng thương mại Nhà nước.</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562"/>
        <w:jc w:val="both"/>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00"/>
          <w:sz w:val="28"/>
          <w:szCs w:val="28"/>
          <w:u w:val="none"/>
          <w:shd w:fill="auto" w:val="clear"/>
          <w:vertAlign w:val="baseline"/>
          <w:rtl w:val="0"/>
        </w:rPr>
        <w:t xml:space="preserve">+  Trong 10 năm tiếp theo: </w:t>
      </w:r>
      <w:r w:rsidDel="00000000" w:rsidR="00000000" w:rsidRPr="00000000">
        <w:rPr>
          <w:rFonts w:ascii="Times New Roman" w:cs="Times New Roman" w:eastAsia="Times New Roman" w:hAnsi="Times New Roman"/>
          <w:b w:val="0"/>
          <w:i w:val="0"/>
          <w:smallCaps w:val="0"/>
          <w:strike w:val="0"/>
          <w:color w:val="ffffff"/>
          <w:sz w:val="28"/>
          <w:szCs w:val="28"/>
          <w:u w:val="none"/>
          <w:shd w:fill="auto" w:val="clear"/>
          <w:vertAlign w:val="baseline"/>
          <w:rtl w:val="0"/>
        </w:rPr>
        <w:t xml:space="preserve">Áp dụng LSCV thấp hơn 01% LSCV trung dài hạn VND bình quân của 04 ngân hàng thương mại Nhà nước.</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60" w:line="269" w:lineRule="auto"/>
        <w:ind w:left="0" w:right="0" w:firstLine="562"/>
        <w:jc w:val="center"/>
        <w:rPr>
          <w:rFonts w:ascii="Times New Roman" w:cs="Times New Roman" w:eastAsia="Times New Roman" w:hAnsi="Times New Roman"/>
          <w:b w:val="1"/>
          <w:i w:val="0"/>
          <w:smallCaps w:val="0"/>
          <w:strike w:val="0"/>
          <w:color w:val="c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30"/>
          <w:szCs w:val="30"/>
          <w:u w:val="none"/>
          <w:shd w:fill="auto" w:val="clear"/>
          <w:vertAlign w:val="baseline"/>
          <w:rtl w:val="0"/>
        </w:rPr>
        <w:t xml:space="preserve">Lãi suất cho vay áp dụng từ ngày 01/07/2025 đến ngày 31/12/2025 là </w:t>
      </w:r>
      <w:r w:rsidDel="00000000" w:rsidR="00000000" w:rsidRPr="00000000">
        <w:rPr>
          <w:rFonts w:ascii="Times New Roman" w:cs="Times New Roman" w:eastAsia="Times New Roman" w:hAnsi="Times New Roman"/>
          <w:b w:val="1"/>
          <w:i w:val="0"/>
          <w:smallCaps w:val="0"/>
          <w:strike w:val="0"/>
          <w:color w:val="c00000"/>
          <w:sz w:val="36"/>
          <w:szCs w:val="36"/>
          <w:u w:val="none"/>
          <w:shd w:fill="auto" w:val="clear"/>
          <w:vertAlign w:val="baseline"/>
          <w:rtl w:val="0"/>
        </w:rPr>
        <w:t xml:space="preserve">5,9%/năm.</w:t>
      </w:r>
      <w:r w:rsidDel="00000000" w:rsidR="00000000" w:rsidRPr="00000000">
        <w:rPr>
          <w:rtl w:val="0"/>
        </w:rPr>
      </w:r>
    </w:p>
    <w:p w:rsidR="00000000" w:rsidDel="00000000" w:rsidP="00000000" w:rsidRDefault="00000000" w:rsidRPr="00000000" w14:paraId="00000013">
      <w:pPr>
        <w:tabs>
          <w:tab w:val="left" w:leader="none" w:pos="851"/>
        </w:tabs>
        <w:spacing w:after="0" w:line="269" w:lineRule="auto"/>
        <w:ind w:firstLine="567"/>
        <w:jc w:val="both"/>
        <w:rPr>
          <w:color w:val="ffff00"/>
          <w:sz w:val="30"/>
          <w:szCs w:val="30"/>
        </w:rPr>
      </w:pPr>
      <w:r w:rsidDel="00000000" w:rsidR="00000000" w:rsidRPr="00000000">
        <w:rPr>
          <w:color w:val="ffffff"/>
          <w:sz w:val="30"/>
          <w:szCs w:val="30"/>
          <w:rtl w:val="0"/>
        </w:rPr>
        <w:t xml:space="preserve">b)  Sau thời gian áp dụng mức LSCV ưu đãi nêu trên, chuyển sang áp dụng lãi suất có điều chỉnh = (bằng) lãi suất niêm yết tối đa tiền gửi tiết kiệm VND trả lãi sau toàn bộ kỳ hạn</w:t>
      </w:r>
      <w:r w:rsidDel="00000000" w:rsidR="00000000" w:rsidRPr="00000000">
        <w:rPr>
          <w:sz w:val="30"/>
          <w:szCs w:val="30"/>
          <w:rtl w:val="0"/>
        </w:rPr>
        <w:t xml:space="preserve"> </w:t>
      </w:r>
      <w:r w:rsidDel="00000000" w:rsidR="00000000" w:rsidRPr="00000000">
        <w:rPr>
          <w:b w:val="1"/>
          <w:color w:val="ffff00"/>
          <w:sz w:val="30"/>
          <w:szCs w:val="30"/>
          <w:rtl w:val="0"/>
        </w:rPr>
        <w:t xml:space="preserve">24 tháng</w:t>
      </w:r>
      <w:r w:rsidDel="00000000" w:rsidR="00000000" w:rsidRPr="00000000">
        <w:rPr>
          <w:color w:val="ffff00"/>
          <w:sz w:val="30"/>
          <w:szCs w:val="30"/>
          <w:rtl w:val="0"/>
        </w:rPr>
        <w:t xml:space="preserve"> </w:t>
      </w:r>
      <w:r w:rsidDel="00000000" w:rsidR="00000000" w:rsidRPr="00000000">
        <w:rPr>
          <w:color w:val="ffffff"/>
          <w:sz w:val="30"/>
          <w:szCs w:val="30"/>
          <w:rtl w:val="0"/>
        </w:rPr>
        <w:t xml:space="preserve">+ (cộng) biên độ</w:t>
      </w:r>
      <w:r w:rsidDel="00000000" w:rsidR="00000000" w:rsidRPr="00000000">
        <w:rPr>
          <w:sz w:val="30"/>
          <w:szCs w:val="30"/>
          <w:rtl w:val="0"/>
        </w:rPr>
        <w:t xml:space="preserve"> </w:t>
      </w:r>
      <w:r w:rsidDel="00000000" w:rsidR="00000000" w:rsidRPr="00000000">
        <w:rPr>
          <w:b w:val="1"/>
          <w:color w:val="ffff00"/>
          <w:sz w:val="30"/>
          <w:szCs w:val="30"/>
          <w:rtl w:val="0"/>
        </w:rPr>
        <w:t xml:space="preserve">3,0%/năm</w:t>
      </w:r>
      <w:r w:rsidDel="00000000" w:rsidR="00000000" w:rsidRPr="00000000">
        <w:rPr>
          <w:color w:val="ffff00"/>
          <w:sz w:val="30"/>
          <w:szCs w:val="30"/>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1"/>
          <w:i w:val="0"/>
          <w:smallCaps w:val="0"/>
          <w:strike w:val="0"/>
          <w:color w:val="ffff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6. Điều kiện cho vay.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40"/>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Ngoài các điều kiện vay vốn theo quy định hiện hành của Agribank, khách hàng vay vốn phải đáp ứng thêm các điều kiện sau:</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40"/>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a) Khách hàng đáp ứng các điều kiện được hưởng chính sách hỗ trợ về nhà ở xã hội theo quy định của pháp luật và các văn bản hướng dẫn của Bộ xây dựng.</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40"/>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b) Mỗi khách hàng hoặc vợ/chồng khách hàng chỉ được tham gia vay vốn theo quy định tại Chương trình này 01 (một) lần để mua 01 (một) căn hộ tại dự án thuộc danh mục dự án do Bộ xây dựng/Ủy ban nhân dân tỉnh, thành phố công bố theo quy định.</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40"/>
        <w:jc w:val="both"/>
        <w:rPr>
          <w:rFonts w:ascii="Times New Roman" w:cs="Times New Roman" w:eastAsia="Times New Roman" w:hAnsi="Times New Roman"/>
          <w:b w:val="0"/>
          <w:i w:val="0"/>
          <w:smallCaps w:val="0"/>
          <w:strike w:val="0"/>
          <w:color w:val="ffffff"/>
          <w:sz w:val="30"/>
          <w:szCs w:val="30"/>
          <w:u w:val="none"/>
          <w:shd w:fill="auto" w:val="clear"/>
          <w:vertAlign w:val="baseline"/>
        </w:rPr>
      </w:pPr>
      <w:bookmarkStart w:colFirst="0" w:colLast="0" w:name="_heading=h.4clvk0yqahvi" w:id="0"/>
      <w:bookmarkEnd w:id="0"/>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7. Phí trả nợ trước hạn: </w:t>
      </w: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Áp dụng phí trả nợ trước hạn bằng mức phí cao nhất (trừ các trường hợp không thu phí trả nợ trước hạn) theo quy định của Tổng Giám đốc trong từng thời kỳ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562"/>
        <w:jc w:val="both"/>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562"/>
        <w:jc w:val="both"/>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sectPr>
      <w:pgSz w:h="16840" w:w="11907" w:orient="portrait"/>
      <w:pgMar w:bottom="0" w:top="284" w:left="851"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0" w:line="240" w:lineRule="auto"/>
    </w:pPr>
    <w:rPr>
      <w:rFonts w:ascii="Times New Roman" w:cs="Times New Roman" w:eastAsia="Times New Roman" w:hAnsi="Times New Roman"/>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Heading7">
    <w:name w:val="heading 7"/>
    <w:basedOn w:val="Normal"/>
    <w:next w:val="Normal"/>
    <w:link w:val="Heading7Char"/>
    <w:qFormat w:val="1"/>
    <w:rsid w:val="00E0663C"/>
    <w:pPr>
      <w:keepNext w:val="1"/>
      <w:spacing w:after="0" w:line="240" w:lineRule="auto"/>
      <w:jc w:val="center"/>
      <w:outlineLvl w:val="6"/>
    </w:pPr>
    <w:rPr>
      <w:rFonts w:ascii=".VnTimeH" w:eastAsia="Times New Roman" w:hAnsi=".VnTimeH"/>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E0663C"/>
    <w:rPr>
      <w:rFonts w:ascii=".VnTime" w:cs="Times New Roman" w:eastAsia="Times New Roman" w:hAnsi=".VnTime"/>
      <w:sz w:val="28"/>
      <w:szCs w:val="24"/>
    </w:rPr>
  </w:style>
  <w:style w:type="character" w:styleId="Heading7Char" w:customStyle="1">
    <w:name w:val="Heading 7 Char"/>
    <w:basedOn w:val="DefaultParagraphFont"/>
    <w:link w:val="Heading7"/>
    <w:rsid w:val="00E0663C"/>
    <w:rPr>
      <w:rFonts w:ascii=".VnTimeH" w:cs="Times New Roman" w:eastAsia="Times New Roman" w:hAnsi=".VnTimeH"/>
      <w:b w:val="1"/>
      <w:bCs w:val="1"/>
      <w:sz w:val="24"/>
      <w:szCs w:val="24"/>
    </w:rPr>
  </w:style>
  <w:style w:type="paragraph" w:styleId="ListParagraph">
    <w:name w:val="List Paragraph"/>
    <w:basedOn w:val="Normal"/>
    <w:uiPriority w:val="34"/>
    <w:qFormat w:val="1"/>
    <w:rsid w:val="007D51A0"/>
    <w:pPr>
      <w:ind w:left="720"/>
      <w:contextualSpacing w:val="1"/>
    </w:pPr>
  </w:style>
  <w:style w:type="table" w:styleId="TableGrid">
    <w:name w:val="Table Grid"/>
    <w:basedOn w:val="TableNormal"/>
    <w:uiPriority w:val="59"/>
    <w:rsid w:val="007D51A0"/>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BalloonText">
    <w:name w:val="Balloon Text"/>
    <w:basedOn w:val="Normal"/>
    <w:link w:val="BalloonTextChar"/>
    <w:uiPriority w:val="99"/>
    <w:semiHidden w:val="1"/>
    <w:unhideWhenUsed w:val="1"/>
    <w:rsid w:val="00B3722E"/>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3722E"/>
    <w:rPr>
      <w:rFonts w:ascii="Tahoma" w:cs="Tahoma" w:hAnsi="Tahoma"/>
      <w:sz w:val="16"/>
      <w:szCs w:val="16"/>
    </w:rPr>
  </w:style>
  <w:style w:type="paragraph" w:styleId="NoSpacing">
    <w:name w:val="No Spacing"/>
    <w:uiPriority w:val="1"/>
    <w:qFormat w:val="1"/>
    <w:rsid w:val="003B554F"/>
    <w:pPr>
      <w:spacing w:after="0" w:line="240" w:lineRule="auto"/>
    </w:pPr>
  </w:style>
  <w:style w:type="character" w:styleId="Bodytext" w:customStyle="1">
    <w:name w:val="Body text_"/>
    <w:link w:val="BodyText2"/>
    <w:rsid w:val="004156D8"/>
    <w:rPr>
      <w:shd w:color="auto" w:fill="ffffff" w:val="clear"/>
    </w:rPr>
  </w:style>
  <w:style w:type="paragraph" w:styleId="BodyText2" w:customStyle="1">
    <w:name w:val="Body Text2"/>
    <w:basedOn w:val="Normal"/>
    <w:link w:val="Bodytext"/>
    <w:rsid w:val="004156D8"/>
    <w:pPr>
      <w:widowControl w:val="0"/>
      <w:shd w:color="auto" w:fill="ffffff" w:val="clear"/>
      <w:spacing w:after="120" w:before="420" w:line="365" w:lineRule="exact"/>
      <w:ind w:firstLine="340"/>
      <w:jc w:val="both"/>
    </w:pPr>
  </w:style>
  <w:style w:type="paragraph" w:styleId="BodyTextIndent">
    <w:name w:val="Body Text Indent"/>
    <w:basedOn w:val="Normal"/>
    <w:link w:val="BodyTextIndentChar"/>
    <w:rsid w:val="00E729EC"/>
    <w:pPr>
      <w:spacing w:after="0" w:line="240" w:lineRule="auto"/>
      <w:ind w:firstLine="360"/>
    </w:pPr>
    <w:rPr>
      <w:rFonts w:ascii=".VnTime" w:eastAsia="Times New Roman" w:hAnsi=".VnTime"/>
      <w:spacing w:val="0"/>
      <w:sz w:val="26"/>
      <w:szCs w:val="24"/>
    </w:rPr>
  </w:style>
  <w:style w:type="character" w:styleId="BodyTextIndentChar" w:customStyle="1">
    <w:name w:val="Body Text Indent Char"/>
    <w:basedOn w:val="DefaultParagraphFont"/>
    <w:link w:val="BodyTextIndent"/>
    <w:rsid w:val="00E729EC"/>
    <w:rPr>
      <w:rFonts w:ascii=".VnTime" w:eastAsia="Times New Roman" w:hAnsi=".VnTime"/>
      <w:spacing w:val="0"/>
      <w:sz w:val="26"/>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9KPCVERryeKFxM2Dqh6eFG2Inw==">CgMxLjAyDmguNGNsdmsweXFhaHZpOAByITFkRXBkT2JxTDlzM0hWbWVjcEJQUVhkTG1XWFZCUUVFUg==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2023-03-07T09:35:00Z</dcterms:created>
  <dc:creator>quyenduongthiphuong</dc:creator>
</cp:coreProperties>
</file>