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mc:AlternateContent>
          <mc:Choice Requires="wps">
            <w:drawing>
              <wp:anchor distT="0" distB="189230" distL="265430" distR="3166110" simplePos="0" relativeHeight="125829378" behindDoc="0" locked="0" layoutInCell="1" allowOverlap="1">
                <wp:simplePos x="0" y="0"/>
                <wp:positionH relativeFrom="page">
                  <wp:posOffset>278765</wp:posOffset>
                </wp:positionH>
                <wp:positionV relativeFrom="paragraph">
                  <wp:posOffset>285750</wp:posOffset>
                </wp:positionV>
                <wp:extent cx="3323590" cy="1145540"/>
                <wp:wrapTopAndBottom/>
                <wp:docPr id="1" name="Shape 1"/>
                <a:graphic xmlns:a="http://schemas.openxmlformats.org/drawingml/2006/main">
                  <a:graphicData uri="http://schemas.microsoft.com/office/word/2010/wordprocessingShape">
                    <wps:wsp>
                      <wps:cNvSpPr txBox="1"/>
                      <wps:spPr>
                        <a:xfrm>
                          <a:ext cx="3323590" cy="1145540"/>
                        </a:xfrm>
                        <a:prstGeom prst="rect"/>
                        <a:noFill/>
                      </wps:spPr>
                      <wps:txbx>
                        <w:txbxContent>
                          <w:p>
                            <w:pPr>
                              <w:widowControl w:val="0"/>
                            </w:pPr>
                          </w:p>
                          <w:p>
                            <w:pPr>
                              <w:pStyle w:val="Style2"/>
                              <w:keepNext w:val="0"/>
                              <w:keepLines w:val="0"/>
                              <w:widowControl w:val="0"/>
                              <w:shd w:val="clear" w:color="auto" w:fill="auto"/>
                              <w:bidi w:val="0"/>
                              <w:spacing w:before="0" w:after="0" w:line="257" w:lineRule="exact"/>
                              <w:ind w:left="0" w:right="0" w:firstLine="1480"/>
                              <w:jc w:val="left"/>
                              <w:rPr>
                                <w:sz w:val="22"/>
                                <w:szCs w:val="22"/>
                              </w:rPr>
                            </w:pPr>
                            <w:r>
                              <w:rPr>
                                <w:rStyle w:val="CharStyle3"/>
                                <w:b/>
                                <w:bCs/>
                                <w:sz w:val="22"/>
                                <w:szCs w:val="22"/>
                              </w:rPr>
                              <w:t xml:space="preserve">NGÂN HÀNG NÔNG NGHIỆP VÀ </w:t>
                            </w:r>
                            <w:r>
                              <w:rPr>
                                <w:rStyle w:val="CharStyle3"/>
                                <w:b/>
                                <w:bCs/>
                                <w:sz w:val="22"/>
                                <w:szCs w:val="22"/>
                                <w:lang w:val="en-US" w:eastAsia="en-US" w:bidi="en-US"/>
                              </w:rPr>
                              <w:t xml:space="preserve">PHATTra^NtoGTH0N^T </w:t>
                            </w:r>
                            <w:r>
                              <w:rPr>
                                <w:rStyle w:val="CharStyle3"/>
                                <w:b/>
                                <w:bCs/>
                                <w:sz w:val="22"/>
                                <w:szCs w:val="22"/>
                              </w:rPr>
                              <w:t>NAM</w:t>
                            </w:r>
                          </w:p>
                          <w:p>
                            <w:pPr>
                              <w:widowControl w:val="0"/>
                            </w:pP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21.949999999999999pt;margin-top:22.5pt;width:261.69999999999999pt;height:90.200000000000003pt;z-index:-125829375;mso-wrap-distance-left:20.900000000000002pt;mso-wrap-distance-right:249.30000000000001pt;mso-wrap-distance-bottom:14.9pt;mso-position-horizontal-relative:page" filled="f" stroked="f">
                <v:textbox inset="0,0,0,0">
                  <w:txbxContent>
                    <w:p>
                      <w:pPr>
                        <w:widowControl w:val="0"/>
                      </w:pPr>
                    </w:p>
                    <w:p>
                      <w:pPr>
                        <w:pStyle w:val="Style2"/>
                        <w:keepNext w:val="0"/>
                        <w:keepLines w:val="0"/>
                        <w:widowControl w:val="0"/>
                        <w:shd w:val="clear" w:color="auto" w:fill="auto"/>
                        <w:bidi w:val="0"/>
                        <w:spacing w:before="0" w:after="0" w:line="257" w:lineRule="exact"/>
                        <w:ind w:left="0" w:right="0" w:firstLine="1480"/>
                        <w:jc w:val="left"/>
                        <w:rPr>
                          <w:sz w:val="22"/>
                          <w:szCs w:val="22"/>
                        </w:rPr>
                      </w:pPr>
                      <w:r>
                        <w:rPr>
                          <w:rStyle w:val="CharStyle3"/>
                          <w:b/>
                          <w:bCs/>
                          <w:sz w:val="22"/>
                          <w:szCs w:val="22"/>
                        </w:rPr>
                        <w:t xml:space="preserve">NGÂN HÀNG NÔNG NGHIỆP VÀ </w:t>
                      </w:r>
                      <w:r>
                        <w:rPr>
                          <w:rStyle w:val="CharStyle3"/>
                          <w:b/>
                          <w:bCs/>
                          <w:sz w:val="22"/>
                          <w:szCs w:val="22"/>
                          <w:lang w:val="en-US" w:eastAsia="en-US" w:bidi="en-US"/>
                        </w:rPr>
                        <w:t xml:space="preserve">PHATTra^NtoGTH0N^T </w:t>
                      </w:r>
                      <w:r>
                        <w:rPr>
                          <w:rStyle w:val="CharStyle3"/>
                          <w:b/>
                          <w:bCs/>
                          <w:sz w:val="22"/>
                          <w:szCs w:val="22"/>
                        </w:rPr>
                        <w:t>NAM</w:t>
                      </w:r>
                    </w:p>
                    <w:p>
                      <w:pPr>
                        <w:widowControl w:val="0"/>
                      </w:pPr>
                    </w:p>
                  </w:txbxContent>
                </v:textbox>
                <w10:wrap type="topAndBottom" anchorx="page"/>
              </v:shape>
            </w:pict>
          </mc:Fallback>
        </mc:AlternateContent>
      </w:r>
      <w:r>
        <mc:AlternateContent>
          <mc:Choice Requires="wps">
            <w:drawing>
              <wp:anchor distT="422910" distB="546100" distL="3712210" distR="114300" simplePos="0" relativeHeight="125829380" behindDoc="0" locked="0" layoutInCell="1" allowOverlap="1">
                <wp:simplePos x="0" y="0"/>
                <wp:positionH relativeFrom="page">
                  <wp:posOffset>3725545</wp:posOffset>
                </wp:positionH>
                <wp:positionV relativeFrom="paragraph">
                  <wp:posOffset>708660</wp:posOffset>
                </wp:positionV>
                <wp:extent cx="2928620" cy="365760"/>
                <wp:wrapTopAndBottom/>
                <wp:docPr id="3" name="Shape 3"/>
                <a:graphic xmlns:a="http://schemas.openxmlformats.org/drawingml/2006/main">
                  <a:graphicData uri="http://schemas.microsoft.com/office/word/2010/wordprocessingShape">
                    <wps:wsp>
                      <wps:cNvSpPr txBox="1"/>
                      <wps:spPr>
                        <a:xfrm>
                          <a:ext cx="2928620" cy="365760"/>
                        </a:xfrm>
                        <a:prstGeom prst="rect"/>
                        <a:noFill/>
                      </wps:spPr>
                      <wps:txbx>
                        <w:txbxContent>
                          <w:p>
                            <w:pPr>
                              <w:pStyle w:val="Style2"/>
                              <w:keepNext w:val="0"/>
                              <w:keepLines w:val="0"/>
                              <w:widowControl w:val="0"/>
                              <w:shd w:val="clear" w:color="auto" w:fill="auto"/>
                              <w:bidi w:val="0"/>
                              <w:spacing w:before="0" w:after="0" w:line="266" w:lineRule="exact"/>
                              <w:ind w:left="0" w:right="0" w:firstLine="0"/>
                              <w:jc w:val="center"/>
                              <w:rPr>
                                <w:sz w:val="22"/>
                                <w:szCs w:val="22"/>
                              </w:rPr>
                            </w:pPr>
                            <w:r>
                              <w:rPr>
                                <w:rStyle w:val="CharStyle3"/>
                                <w:b/>
                                <w:bCs/>
                                <w:sz w:val="22"/>
                                <w:szCs w:val="22"/>
                              </w:rPr>
                              <w:t>CỘNG HOÀ XẪ HỘI CHỦ NGHĨA VIỆT NAM</w:t>
                              <w:br/>
                              <w:t>Độc lập - Tự do - Hạnh phúc</w:t>
                            </w:r>
                          </w:p>
                        </w:txbxContent>
                      </wps:txbx>
                      <wps:bodyPr lIns="0" tIns="0" rIns="0" bIns="0">
                        <a:noAutoFit/>
                      </wps:bodyPr>
                    </wps:wsp>
                  </a:graphicData>
                </a:graphic>
              </wp:anchor>
            </w:drawing>
          </mc:Choice>
          <mc:Fallback>
            <w:pict>
              <v:shape id="_x0000_s1029" type="#_x0000_t202" style="position:absolute;margin-left:293.35000000000002pt;margin-top:55.800000000000004pt;width:230.59999999999999pt;height:28.800000000000001pt;z-index:-125829373;mso-wrap-distance-left:292.30000000000001pt;mso-wrap-distance-top:33.299999999999997pt;mso-wrap-distance-right:9.pt;mso-wrap-distance-bottom:43.pt;mso-position-horizontal-relative:page" filled="f" stroked="f">
                <v:textbox inset="0,0,0,0">
                  <w:txbxContent>
                    <w:p>
                      <w:pPr>
                        <w:pStyle w:val="Style2"/>
                        <w:keepNext w:val="0"/>
                        <w:keepLines w:val="0"/>
                        <w:widowControl w:val="0"/>
                        <w:shd w:val="clear" w:color="auto" w:fill="auto"/>
                        <w:bidi w:val="0"/>
                        <w:spacing w:before="0" w:after="0" w:line="266" w:lineRule="exact"/>
                        <w:ind w:left="0" w:right="0" w:firstLine="0"/>
                        <w:jc w:val="center"/>
                        <w:rPr>
                          <w:sz w:val="22"/>
                          <w:szCs w:val="22"/>
                        </w:rPr>
                      </w:pPr>
                      <w:r>
                        <w:rPr>
                          <w:rStyle w:val="CharStyle3"/>
                          <w:b/>
                          <w:bCs/>
                          <w:sz w:val="22"/>
                          <w:szCs w:val="22"/>
                        </w:rPr>
                        <w:t>CỘNG HOÀ XẪ HỘI CHỦ NGHĨA VIỆT NAM</w:t>
                        <w:br/>
                        <w:t>Độc lập - Tự do - Hạnh phúc</w:t>
                      </w:r>
                    </w:p>
                  </w:txbxContent>
                </v:textbox>
                <w10:wrap type="topAndBottom" anchorx="page"/>
              </v:shape>
            </w:pict>
          </mc:Fallback>
        </mc:AlternateContent>
      </w:r>
      <w:r>
        <mc:AlternateContent>
          <mc:Choice Requires="wps">
            <w:drawing>
              <wp:anchor distT="1065530" distB="0" distL="114300" distR="5886450" simplePos="0" relativeHeight="125829382" behindDoc="0" locked="0" layoutInCell="1" allowOverlap="1">
                <wp:simplePos x="0" y="0"/>
                <wp:positionH relativeFrom="page">
                  <wp:posOffset>127635</wp:posOffset>
                </wp:positionH>
                <wp:positionV relativeFrom="paragraph">
                  <wp:posOffset>1351280</wp:posOffset>
                </wp:positionV>
                <wp:extent cx="754380" cy="269875"/>
                <wp:wrapTopAndBottom/>
                <wp:docPr id="5" name="Shape 5"/>
                <a:graphic xmlns:a="http://schemas.openxmlformats.org/drawingml/2006/main">
                  <a:graphicData uri="http://schemas.microsoft.com/office/word/2010/wordprocessingShape">
                    <wps:wsp>
                      <wps:cNvSpPr txBox="1"/>
                      <wps:spPr>
                        <a:xfrm>
                          <a:ext cx="754380" cy="269875"/>
                        </a:xfrm>
                        <a:prstGeom prst="rect"/>
                        <a:noFill/>
                      </wps:spPr>
                      <wps:txbx>
                        <w:txbxContent>
                          <w:p>
                            <w:pPr>
                              <w:widowControl w:val="0"/>
                            </w:pPr>
                          </w:p>
                        </w:txbxContent>
                      </wps:txbx>
                      <wps:bodyPr wrap="none" lIns="0" tIns="0" rIns="0" bIns="0">
                        <a:noAutoFit/>
                      </wps:bodyPr>
                    </wps:wsp>
                  </a:graphicData>
                </a:graphic>
              </wp:anchor>
            </w:drawing>
          </mc:Choice>
          <mc:Fallback>
            <w:pict>
              <v:shape id="_x0000_s1031" type="#_x0000_t202" style="position:absolute;margin-left:10.050000000000001pt;margin-top:106.40000000000001pt;width:59.399999999999999pt;height:21.25pt;z-index:-125829371;mso-wrap-distance-left:9.pt;mso-wrap-distance-top:83.900000000000006pt;mso-wrap-distance-right:463.5pt;mso-position-horizontal-relative:page" filled="f" stroked="f">
                <v:textbox inset="0,0,0,0">
                  <w:txbxContent>
                    <w:p>
                      <w:pPr>
                        <w:widowControl w:val="0"/>
                      </w:pPr>
                    </w:p>
                  </w:txbxContent>
                </v:textbox>
                <w10:wrap type="topAndBottom" anchorx="page"/>
              </v:shape>
            </w:pict>
          </mc:Fallback>
        </mc:AlternateContent>
      </w:r>
      <w:r>
        <mc:AlternateContent>
          <mc:Choice Requires="wps">
            <w:drawing>
              <wp:anchor distT="939800" distB="166370" distL="4073525" distR="478155" simplePos="0" relativeHeight="125829384" behindDoc="0" locked="0" layoutInCell="1" allowOverlap="1">
                <wp:simplePos x="0" y="0"/>
                <wp:positionH relativeFrom="page">
                  <wp:posOffset>4086860</wp:posOffset>
                </wp:positionH>
                <wp:positionV relativeFrom="paragraph">
                  <wp:posOffset>1225550</wp:posOffset>
                </wp:positionV>
                <wp:extent cx="2203450" cy="228600"/>
                <wp:wrapTopAndBottom/>
                <wp:docPr id="7" name="Shape 7"/>
                <a:graphic xmlns:a="http://schemas.openxmlformats.org/drawingml/2006/main">
                  <a:graphicData uri="http://schemas.microsoft.com/office/word/2010/wordprocessingShape">
                    <wps:wsp>
                      <wps:cNvSpPr txBox="1"/>
                      <wps:spPr>
                        <a:xfrm>
                          <a:ext cx="2203450" cy="22860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pPr>
                            <w:r>
                              <w:rPr>
                                <w:rStyle w:val="CharStyle10"/>
                                <w:i/>
                                <w:iCs/>
                              </w:rPr>
                              <w:t>Hà Nội, ngày</w:t>
                            </w:r>
                            <w:r>
                              <w:rPr>
                                <w:rStyle w:val="CharStyle10"/>
                                <w:i/>
                                <w:iCs/>
                                <w:lang w:val="en-US" w:eastAsia="en-US" w:bidi="en-US"/>
                              </w:rPr>
                              <w:t xml:space="preserve"> 25 </w:t>
                            </w:r>
                            <w:r>
                              <w:rPr>
                                <w:rStyle w:val="CharStyle10"/>
                                <w:i/>
                                <w:iCs/>
                              </w:rPr>
                              <w:t>tháng 07 năm 2023</w:t>
                            </w:r>
                          </w:p>
                        </w:txbxContent>
                      </wps:txbx>
                      <wps:bodyPr wrap="none" lIns="0" tIns="0" rIns="0" bIns="0">
                        <a:noAutoFit/>
                      </wps:bodyPr>
                    </wps:wsp>
                  </a:graphicData>
                </a:graphic>
              </wp:anchor>
            </w:drawing>
          </mc:Choice>
          <mc:Fallback>
            <w:pict>
              <v:shape id="_x0000_s1033" type="#_x0000_t202" style="position:absolute;margin-left:321.80000000000001pt;margin-top:96.5pt;width:173.5pt;height:18.pt;z-index:-125829369;mso-wrap-distance-left:320.75pt;mso-wrap-distance-top:74.pt;mso-wrap-distance-right:37.649999999999999pt;mso-wrap-distance-bottom:13.1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pPr>
                      <w:r>
                        <w:rPr>
                          <w:rStyle w:val="CharStyle10"/>
                          <w:i/>
                          <w:iCs/>
                        </w:rPr>
                        <w:t>Hà Nội, ngày</w:t>
                      </w:r>
                      <w:r>
                        <w:rPr>
                          <w:rStyle w:val="CharStyle10"/>
                          <w:i/>
                          <w:iCs/>
                          <w:lang w:val="en-US" w:eastAsia="en-US" w:bidi="en-US"/>
                        </w:rPr>
                        <w:t xml:space="preserve"> 25 </w:t>
                      </w:r>
                      <w:r>
                        <w:rPr>
                          <w:rStyle w:val="CharStyle10"/>
                          <w:i/>
                          <w:iCs/>
                        </w:rPr>
                        <w:t>tháng 07 năm 2023</w:t>
                      </w:r>
                    </w:p>
                  </w:txbxContent>
                </v:textbox>
                <w10:wrap type="topAndBottom" anchorx="page"/>
              </v:shape>
            </w:pict>
          </mc:Fallback>
        </mc:AlternateContent>
      </w:r>
    </w:p>
    <w:p>
      <w:pPr>
        <w:widowControl w:val="0"/>
        <w:sectPr>
          <w:headerReference w:type="default" r:id="rId5"/>
          <w:headerReference w:type="first" r:id="rId6"/>
          <w:footnotePr>
            <w:pos w:val="pageBottom"/>
            <w:numFmt w:val="decimal"/>
            <w:numRestart w:val="continuous"/>
          </w:footnotePr>
          <w:pgSz w:w="11900" w:h="16840"/>
          <w:pgMar w:top="324" w:right="1421" w:bottom="2194" w:left="186" w:header="0" w:footer="3" w:gutter="0"/>
          <w:pgNumType w:start="1"/>
          <w:cols w:space="720"/>
          <w:noEndnote/>
          <w:titlePg/>
          <w:rtlGutter w:val="0"/>
          <w:docGrid w:linePitch="360"/>
        </w:sectPr>
      </w:pPr>
    </w:p>
    <w:p>
      <w:pPr>
        <w:pStyle w:val="Style14"/>
        <w:keepNext/>
        <w:keepLines/>
        <w:widowControl w:val="0"/>
        <w:shd w:val="clear" w:color="auto" w:fill="auto"/>
        <w:tabs>
          <w:tab w:pos="5324" w:val="left"/>
        </w:tabs>
        <w:bidi w:val="0"/>
        <w:spacing w:before="0" w:after="0" w:line="288" w:lineRule="exact"/>
        <w:ind w:left="0" w:right="0" w:firstLine="0"/>
        <w:jc w:val="left"/>
        <w:rPr>
          <w:sz w:val="24"/>
          <w:szCs w:val="24"/>
        </w:rPr>
      </w:pPr>
      <w:bookmarkStart w:id="0" w:name="bookmark0"/>
      <w:r>
        <w:rPr>
          <w:rStyle w:val="CharStyle15"/>
          <w:b/>
          <w:bCs/>
          <w:color w:val="232246"/>
          <w:sz w:val="24"/>
          <w:szCs w:val="24"/>
        </w:rPr>
        <w:tab/>
      </w:r>
      <w:r>
        <w:rPr>
          <w:rStyle w:val="CharStyle15"/>
          <w:b/>
          <w:bCs/>
          <w:color w:val="000000"/>
          <w:sz w:val="24"/>
          <w:szCs w:val="24"/>
        </w:rPr>
        <w:t>QUY CHÉ</w:t>
      </w:r>
      <w:bookmarkEnd w:id="0"/>
    </w:p>
    <w:p>
      <w:pPr>
        <w:pStyle w:val="Style2"/>
        <w:keepNext w:val="0"/>
        <w:keepLines w:val="0"/>
        <w:widowControl w:val="0"/>
        <w:shd w:val="clear" w:color="auto" w:fill="auto"/>
        <w:tabs>
          <w:tab w:pos="1048" w:val="left"/>
          <w:tab w:leader="underscore" w:pos="1328" w:val="left"/>
        </w:tabs>
        <w:bidi w:val="0"/>
        <w:spacing w:before="0" w:after="0" w:line="288" w:lineRule="exact"/>
        <w:ind w:left="0" w:right="0" w:firstLine="240"/>
        <w:jc w:val="left"/>
      </w:pPr>
      <w:r>
        <mc:AlternateContent>
          <mc:Choice Requires="wps">
            <w:drawing>
              <wp:anchor distT="0" distB="0" distL="0" distR="0" simplePos="0" relativeHeight="125829386" behindDoc="0" locked="0" layoutInCell="1" allowOverlap="1">
                <wp:simplePos x="0" y="0"/>
                <wp:positionH relativeFrom="page">
                  <wp:posOffset>369570</wp:posOffset>
                </wp:positionH>
                <wp:positionV relativeFrom="paragraph">
                  <wp:posOffset>368300</wp:posOffset>
                </wp:positionV>
                <wp:extent cx="731520" cy="315595"/>
                <wp:wrapSquare wrapText="right"/>
                <wp:docPr id="11" name="Shape 11"/>
                <a:graphic xmlns:a="http://schemas.openxmlformats.org/drawingml/2006/main">
                  <a:graphicData uri="http://schemas.microsoft.com/office/word/2010/wordprocessingShape">
                    <wps:wsp>
                      <wps:cNvSpPr txBox="1"/>
                      <wps:spPr>
                        <a:xfrm>
                          <a:ext cx="731520" cy="315595"/>
                        </a:xfrm>
                        <a:prstGeom prst="rect"/>
                        <a:noFill/>
                      </wps:spPr>
                      <wps:txbx>
                        <w:txbxContent>
                          <w:p>
                            <w:pPr>
                              <w:widowControl w:val="0"/>
                            </w:pPr>
                          </w:p>
                        </w:txbxContent>
                      </wps:txbx>
                      <wps:bodyPr wrap="none" lIns="0" tIns="0" rIns="0" bIns="0">
                        <a:noAutoFit/>
                      </wps:bodyPr>
                    </wps:wsp>
                  </a:graphicData>
                </a:graphic>
              </wp:anchor>
            </w:drawing>
          </mc:Choice>
          <mc:Fallback>
            <w:pict>
              <v:shape id="_x0000_s1037" type="#_x0000_t202" style="position:absolute;margin-left:29.100000000000001pt;margin-top:29.pt;width:57.600000000000001pt;height:24.850000000000001pt;z-index:-125829367;mso-wrap-distance-left:0;mso-wrap-distance-right:0;mso-position-horizontal-relative:page" filled="f" stroked="f">
                <v:textbox inset="0,0,0,0">
                  <w:txbxContent>
                    <w:p>
                      <w:pPr>
                        <w:widowControl w:val="0"/>
                      </w:pPr>
                    </w:p>
                  </w:txbxContent>
                </v:textbox>
                <w10:wrap type="square" side="right" anchorx="page"/>
              </v:shape>
            </w:pict>
          </mc:Fallback>
        </mc:AlternateContent>
      </w:r>
      <w:r>
        <w:rPr>
          <w:rStyle w:val="CharStyle3"/>
          <w:b/>
          <w:bCs/>
          <w:color w:val="232246"/>
        </w:rPr>
        <w:t xml:space="preserve"> </w:t>
      </w:r>
      <w:r>
        <w:rPr>
          <w:rStyle w:val="CharStyle3"/>
          <w:b/>
          <w:bCs/>
          <w:color w:val="232246"/>
          <w:lang w:val="en-US" w:eastAsia="en-US" w:bidi="en-US"/>
        </w:rPr>
        <w:t xml:space="preserve">                     </w:t>
      </w:r>
      <w:r>
        <w:rPr>
          <w:rStyle w:val="CharStyle3"/>
          <w:b/>
          <w:bCs/>
        </w:rPr>
        <w:t xml:space="preserve">Sửa đổi, bố sung một số Điều của Quy chế số 871/QC-HĐTV-QLĐT </w:t>
      </w:r>
      <w:r>
        <w:rPr>
          <w:rStyle w:val="CharStyle3"/>
          <w:b/>
          <w:bCs/>
          <w:color w:val="232246"/>
        </w:rPr>
        <w:tab/>
      </w:r>
      <w:r>
        <w:rPr>
          <w:rStyle w:val="CharStyle3"/>
          <w:b/>
          <w:bCs/>
          <w:color w:val="232246"/>
          <w:lang w:val="en-US" w:eastAsia="en-US" w:bidi="en-US"/>
        </w:rPr>
        <w:t xml:space="preserve">      </w:t>
      </w:r>
      <w:r>
        <w:rPr>
          <w:rStyle w:val="CharStyle3"/>
          <w:b/>
          <w:bCs/>
          <w:color w:val="232246"/>
        </w:rPr>
        <w:tab/>
        <w:t xml:space="preserve"> </w:t>
      </w:r>
      <w:r>
        <w:rPr>
          <w:rStyle w:val="CharStyle3"/>
          <w:b/>
          <w:bCs/>
        </w:rPr>
        <w:t>ngày 22/12/2021 của Hội đồng thành viên về Đầu tư, mua sắm, thuê, cho thuê</w:t>
      </w:r>
    </w:p>
    <w:p>
      <w:pPr>
        <w:pStyle w:val="Style2"/>
        <w:keepNext w:val="0"/>
        <w:keepLines w:val="0"/>
        <w:widowControl w:val="0"/>
        <w:shd w:val="clear" w:color="auto" w:fill="auto"/>
        <w:bidi w:val="0"/>
        <w:spacing w:before="0" w:after="340" w:line="240" w:lineRule="auto"/>
        <w:ind w:left="2100" w:right="0" w:firstLine="0"/>
        <w:jc w:val="left"/>
      </w:pPr>
      <w:r>
        <w:rPr>
          <w:rStyle w:val="CharStyle3"/>
          <w:b/>
          <w:bCs/>
        </w:rPr>
        <w:t xml:space="preserve">và quản lý tài sản trong hệ </w:t>
      </w:r>
      <w:r>
        <w:rPr>
          <w:rStyle w:val="CharStyle3"/>
          <w:b/>
          <w:bCs/>
          <w:lang w:val="en-US" w:eastAsia="en-US" w:bidi="en-US"/>
        </w:rPr>
        <w:t xml:space="preserve">thong </w:t>
      </w:r>
      <w:r>
        <w:rPr>
          <w:rStyle w:val="CharStyle3"/>
          <w:b/>
          <w:bCs/>
        </w:rPr>
        <w:t>Agribank</w:t>
      </w:r>
    </w:p>
    <w:p>
      <w:pPr>
        <w:pStyle w:val="Style2"/>
        <w:keepNext w:val="0"/>
        <w:keepLines w:val="0"/>
        <w:widowControl w:val="0"/>
        <w:shd w:val="clear" w:color="auto" w:fill="auto"/>
        <w:bidi w:val="0"/>
        <w:spacing w:before="0" w:line="295" w:lineRule="exact"/>
        <w:ind w:left="0" w:right="0" w:firstLine="900"/>
        <w:jc w:val="both"/>
      </w:pPr>
      <w:r>
        <mc:AlternateContent>
          <mc:Choice Requires="wps">
            <w:drawing>
              <wp:anchor distT="0" distB="0" distL="114300" distR="114300" simplePos="0" relativeHeight="125829388" behindDoc="0" locked="0" layoutInCell="1" allowOverlap="1">
                <wp:simplePos x="0" y="0"/>
                <wp:positionH relativeFrom="page">
                  <wp:posOffset>349250</wp:posOffset>
                </wp:positionH>
                <wp:positionV relativeFrom="paragraph">
                  <wp:posOffset>88900</wp:posOffset>
                </wp:positionV>
                <wp:extent cx="498475" cy="338455"/>
                <wp:wrapSquare wrapText="right"/>
                <wp:docPr id="13" name="Shape 13"/>
                <a:graphic xmlns:a="http://schemas.openxmlformats.org/drawingml/2006/main">
                  <a:graphicData uri="http://schemas.microsoft.com/office/word/2010/wordprocessingShape">
                    <wps:wsp>
                      <wps:cNvSpPr txBox="1"/>
                      <wps:spPr>
                        <a:xfrm>
                          <a:ext cx="498475" cy="338455"/>
                        </a:xfrm>
                        <a:prstGeom prst="rect"/>
                        <a:noFill/>
                      </wps:spPr>
                      <wps:txbx>
                        <w:txbxContent>
                          <w:p>
                            <w:pPr>
                              <w:widowControl w:val="0"/>
                            </w:pPr>
                          </w:p>
                        </w:txbxContent>
                      </wps:txbx>
                      <wps:bodyPr wrap="none" lIns="0" tIns="0" rIns="0" bIns="0">
                        <a:noAutoFit/>
                      </wps:bodyPr>
                    </wps:wsp>
                  </a:graphicData>
                </a:graphic>
              </wp:anchor>
            </w:drawing>
          </mc:Choice>
          <mc:Fallback>
            <w:pict>
              <v:shape id="_x0000_s1039" type="#_x0000_t202" style="position:absolute;margin-left:27.5pt;margin-top:7.pt;width:39.25pt;height:26.650000000000002pt;z-index:-125829365;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3"/>
          <w:i/>
          <w:iCs/>
        </w:rPr>
        <w:t>Căn cứ Luật Đẩu thầu số 43/2013/QHỈ 3 ngày 26/11/2013;</w:t>
      </w:r>
    </w:p>
    <w:p>
      <w:pPr>
        <w:pStyle w:val="Style2"/>
        <w:keepNext w:val="0"/>
        <w:keepLines w:val="0"/>
        <w:widowControl w:val="0"/>
        <w:shd w:val="clear" w:color="auto" w:fill="auto"/>
        <w:bidi w:val="0"/>
        <w:spacing w:before="0" w:line="295" w:lineRule="exact"/>
        <w:ind w:left="1700" w:right="0" w:hanging="800"/>
        <w:jc w:val="both"/>
      </w:pPr>
      <w:r>
        <w:rPr>
          <w:rStyle w:val="CharStyle3"/>
          <w:i/>
          <w:iCs/>
        </w:rPr>
        <w:t xml:space="preserve">Căn cứ Nghị định số 63/20Ỉ4/NĐ-CP ngày 26/6/2014 cỉỉa Chính phủ quy định chi tiết thì hành một </w:t>
      </w:r>
      <w:r>
        <w:rPr>
          <w:rStyle w:val="CharStyle3"/>
          <w:i/>
          <w:iCs/>
          <w:lang w:val="en-US" w:eastAsia="en-US" w:bidi="en-US"/>
        </w:rPr>
        <w:t xml:space="preserve">so </w:t>
      </w:r>
      <w:r>
        <w:rPr>
          <w:rStyle w:val="CharStyle3"/>
          <w:i/>
          <w:iCs/>
        </w:rPr>
        <w:t>điều của Luật Đấu thầu về lựa chọn nhà thầu;</w:t>
      </w:r>
    </w:p>
    <w:p>
      <w:pPr>
        <w:pStyle w:val="Style2"/>
        <w:keepNext w:val="0"/>
        <w:keepLines w:val="0"/>
        <w:widowControl w:val="0"/>
        <w:shd w:val="clear" w:color="auto" w:fill="auto"/>
        <w:bidi w:val="0"/>
        <w:spacing w:before="0" w:line="292" w:lineRule="exact"/>
        <w:ind w:left="1700" w:right="0" w:firstLine="540"/>
        <w:jc w:val="both"/>
      </w:pPr>
      <w:r>
        <w:rPr>
          <w:rStyle w:val="CharStyle3"/>
          <w:i/>
          <w:iCs/>
        </w:rPr>
        <w:t>Căn cứ Nghị định số 93/2017/NĐ-CP ngậy 07/8/2017 cùa Chính phù về chê độ tài chính đôi với tỏ chức tín dụng, chi nhánh ngân hàng nước ngoài và giám sảt tài chính, đánh giá hiệu quả đầu tư von nhà nước tại to chức tín dụng do Nhà nước nẳm giữ 100% von điều ỉệ và to chức tín dụng có von nhà nước;</w:t>
      </w:r>
    </w:p>
    <w:p>
      <w:pPr>
        <w:pStyle w:val="Style2"/>
        <w:keepNext w:val="0"/>
        <w:keepLines w:val="0"/>
        <w:widowControl w:val="0"/>
        <w:shd w:val="clear" w:color="auto" w:fill="auto"/>
        <w:bidi w:val="0"/>
        <w:spacing w:before="0" w:line="290" w:lineRule="exact"/>
        <w:ind w:left="1700" w:right="0" w:firstLine="540"/>
        <w:jc w:val="both"/>
      </w:pPr>
      <w:r>
        <w:rPr>
          <w:rStyle w:val="CharStyle3"/>
          <w:i/>
          <w:iCs/>
        </w:rPr>
        <w:t xml:space="preserve">Căn cứ Điều lệ tổ chức và hoạt động của Ngân hàng Nông nghiệp và Phát triển Nông thôn Việt Nam </w:t>
      </w:r>
      <w:r>
        <w:rPr>
          <w:rStyle w:val="CharStyle3"/>
          <w:i/>
          <w:iCs/>
          <w:lang w:val="en-US" w:eastAsia="en-US" w:bidi="en-US"/>
        </w:rPr>
        <w:t xml:space="preserve">(Agribank) </w:t>
      </w:r>
      <w:r>
        <w:rPr>
          <w:rStyle w:val="CharStyle3"/>
          <w:i/>
          <w:iCs/>
        </w:rPr>
        <w:t>ban hành kèm theo Quyết định sổ 600/QĐ-HĐTV ngày 23/4/2012 của Hội đỏng thành viên vầ cấc văn bản sừa đôi, bo sung;</w:t>
      </w:r>
    </w:p>
    <w:p>
      <w:pPr>
        <w:pStyle w:val="Style2"/>
        <w:keepNext w:val="0"/>
        <w:keepLines w:val="0"/>
        <w:widowControl w:val="0"/>
        <w:shd w:val="clear" w:color="auto" w:fill="auto"/>
        <w:bidi w:val="0"/>
        <w:spacing w:before="0" w:line="293" w:lineRule="exact"/>
        <w:ind w:left="1700" w:right="0" w:firstLine="540"/>
        <w:jc w:val="both"/>
      </w:pPr>
      <w:r>
        <w:rPr>
          <w:rStyle w:val="CharStyle3"/>
          <w:i/>
          <w:iCs/>
        </w:rPr>
        <w:t>Căn cứ Nghị quyết số Ỉ2Ỉ/NQ-HĐTV ngày 20/7/2023 của Hội đồng thành viên Thông bảo Nghị quyết họp Hội đồng thành viên ỉần 14 năm 2023 Phần ve Quy chế sửa đổi, bổ sung Quy chế số 87Ỉ/QC-HĐTV-QLĐT ngày 22/12/2021 của Hội đồng thành viên về Đầu tư, mua sam, thuê, cho thuê và quản lý tài sản trong hệ thông Agribank;</w:t>
      </w:r>
    </w:p>
    <w:p>
      <w:pPr>
        <w:pStyle w:val="Style2"/>
        <w:keepNext w:val="0"/>
        <w:keepLines w:val="0"/>
        <w:widowControl w:val="0"/>
        <w:shd w:val="clear" w:color="auto" w:fill="auto"/>
        <w:bidi w:val="0"/>
        <w:spacing w:before="0" w:line="292" w:lineRule="exact"/>
        <w:ind w:left="2100" w:right="0" w:firstLine="0"/>
        <w:jc w:val="left"/>
      </w:pPr>
      <w:r>
        <w:rPr>
          <w:rStyle w:val="CharStyle3"/>
          <w:i/>
          <w:iCs/>
        </w:rPr>
        <w:t>Theo đề nghị của Tổng Giám đốc;</w:t>
      </w:r>
    </w:p>
    <w:p>
      <w:pPr>
        <w:pStyle w:val="Style2"/>
        <w:keepNext w:val="0"/>
        <w:keepLines w:val="0"/>
        <w:widowControl w:val="0"/>
        <w:shd w:val="clear" w:color="auto" w:fill="auto"/>
        <w:bidi w:val="0"/>
        <w:spacing w:before="0" w:line="295" w:lineRule="exact"/>
        <w:ind w:left="1700" w:right="0" w:firstLine="540"/>
        <w:jc w:val="both"/>
      </w:pPr>
      <w:r>
        <w:rPr>
          <w:rStyle w:val="CharStyle3"/>
          <w:i/>
          <w:iCs/>
        </w:rPr>
        <w:t xml:space="preserve">Hội đồng thành viên ban hành Quy chế sửa đoi, bổ sung một </w:t>
      </w:r>
      <w:r>
        <w:rPr>
          <w:rStyle w:val="CharStyle3"/>
          <w:i/>
          <w:iCs/>
          <w:lang w:val="en-US" w:eastAsia="en-US" w:bidi="en-US"/>
        </w:rPr>
        <w:t xml:space="preserve">so </w:t>
      </w:r>
      <w:r>
        <w:rPr>
          <w:rStyle w:val="CharStyle3"/>
          <w:i/>
          <w:iCs/>
        </w:rPr>
        <w:t>Điều cùa Quy chế sổ 871/QC-HĐTV-QLĐT ngậy 22/12/2021 của Hội 'đồng thành viên về Đầu tư, mua sẳm, thuê, cho thuê và quản lý tài sản trong hệ thống Agrìbank</w:t>
      </w:r>
    </w:p>
    <w:p>
      <w:pPr>
        <w:pStyle w:val="Style2"/>
        <w:keepNext w:val="0"/>
        <w:keepLines w:val="0"/>
        <w:widowControl w:val="0"/>
        <w:shd w:val="clear" w:color="auto" w:fill="auto"/>
        <w:bidi w:val="0"/>
        <w:spacing w:before="0" w:line="293" w:lineRule="exact"/>
        <w:ind w:left="1700" w:right="0" w:firstLine="540"/>
        <w:jc w:val="both"/>
      </w:pPr>
      <w:r>
        <w:rPr>
          <w:rStyle w:val="CharStyle3"/>
          <w:b/>
          <w:bCs/>
        </w:rPr>
        <w:t>Điều 1. Sửa đổi, bổ sung một số Điều của Quy chế số 871/QC-HĐTV- QLĐT ngày 22/12/2021 của Hội đồng thành viên về Đấu tư, mua sắm, thuê, cho thuê và quản lý tài sản trong hệ thống AgrỉbanL</w:t>
      </w:r>
    </w:p>
    <w:p>
      <w:pPr>
        <w:pStyle w:val="Style21"/>
        <w:keepNext/>
        <w:keepLines/>
        <w:widowControl w:val="0"/>
        <w:numPr>
          <w:ilvl w:val="0"/>
          <w:numId w:val="1"/>
        </w:numPr>
        <w:shd w:val="clear" w:color="auto" w:fill="auto"/>
        <w:tabs>
          <w:tab w:pos="2456" w:val="left"/>
        </w:tabs>
        <w:bidi w:val="0"/>
        <w:spacing w:before="0" w:line="292" w:lineRule="exact"/>
        <w:ind w:left="2100" w:right="0" w:firstLine="0"/>
        <w:jc w:val="left"/>
      </w:pPr>
      <w:r>
        <w:rPr>
          <w:rStyle w:val="CharStyle22"/>
          <w:b/>
          <w:bCs/>
        </w:rPr>
        <w:t>Sửa đổi, bẫ sung điểm a khoản 2 Điều 5 như sau:</w:t>
      </w:r>
    </w:p>
    <w:p>
      <w:pPr>
        <w:pStyle w:val="Style2"/>
        <w:keepNext w:val="0"/>
        <w:keepLines w:val="0"/>
        <w:widowControl w:val="0"/>
        <w:shd w:val="clear" w:color="auto" w:fill="auto"/>
        <w:bidi w:val="0"/>
        <w:spacing w:before="0" w:line="292" w:lineRule="exact"/>
        <w:ind w:left="1700" w:right="0" w:firstLine="540"/>
        <w:jc w:val="both"/>
      </w:pPr>
      <w:r>
        <w:rPr>
          <w:rStyle w:val="CharStyle3"/>
        </w:rPr>
        <w:t>“a) Đối với kế hoạch đầu tư, mua sắm TSCĐ, nhận chuyển nhượng bất động sản:</w:t>
      </w:r>
    </w:p>
    <w:p>
      <w:pPr>
        <w:pStyle w:val="Style2"/>
        <w:keepNext w:val="0"/>
        <w:keepLines w:val="0"/>
        <w:widowControl w:val="0"/>
        <w:shd w:val="clear" w:color="auto" w:fill="auto"/>
        <w:tabs>
          <w:tab w:pos="2412" w:val="left"/>
        </w:tabs>
        <w:bidi w:val="0"/>
        <w:spacing w:before="0" w:line="292" w:lineRule="exact"/>
        <w:ind w:left="2100" w:right="0" w:firstLine="0"/>
        <w:jc w:val="both"/>
      </w:pPr>
      <w:r>
        <w:rPr>
          <w:rStyle w:val="CharStyle3"/>
        </w:rPr>
        <w:t>-</w:t>
        <w:tab/>
        <w:t>Đơn vị kế hoạch:</w:t>
      </w:r>
    </w:p>
    <w:p>
      <w:pPr>
        <w:pStyle w:val="Style2"/>
        <w:keepNext w:val="0"/>
        <w:keepLines w:val="0"/>
        <w:widowControl w:val="0"/>
        <w:shd w:val="clear" w:color="auto" w:fill="auto"/>
        <w:bidi w:val="0"/>
        <w:spacing w:before="0" w:line="287" w:lineRule="exact"/>
        <w:ind w:left="1700" w:right="0" w:firstLine="540"/>
        <w:jc w:val="both"/>
      </w:pPr>
      <w:r>
        <w:rPr>
          <w:rStyle w:val="CharStyle3"/>
        </w:rPr>
        <w:t xml:space="preserve">+ Trung tâm Công nghệ thông tin: Đầu mối đăng ký kế hoạch đầu tư dự án mua săm TSCĐ, dự án công nghệ thông tin phục vụ hoạt động chung của Agribank (trừ dự án thuộc nghiệp vụ thẻ); kế hoạch mua sắm TSCĐ phục vụ hoạt động cho Trung tâm Công nghệ thông tin. </w:t>
      </w:r>
    </w:p>
    <w:p>
      <w:pPr>
        <w:pStyle w:val="Style2"/>
        <w:keepNext w:val="0"/>
        <w:keepLines w:val="0"/>
        <w:widowControl w:val="0"/>
        <w:shd w:val="clear" w:color="auto" w:fill="auto"/>
        <w:bidi w:val="0"/>
        <w:spacing w:before="0"/>
        <w:ind w:left="1700" w:right="0" w:firstLine="520"/>
        <w:jc w:val="both"/>
      </w:pPr>
      <w:r>
        <w:rPr>
          <w:rStyle w:val="CharStyle3"/>
          <w:lang w:val="en-US" w:eastAsia="en-US" w:bidi="en-US"/>
        </w:rPr>
        <w:t xml:space="preserve">+ </w:t>
      </w:r>
      <w:r>
        <w:rPr>
          <w:rStyle w:val="CharStyle3"/>
        </w:rPr>
        <w:t>Văn phòng Trụ sở chính: Đầu mối đăng ký kế hoạch mua sấm TSCĐ phục vụ hoạt động cho Trụ sở chính.</w:t>
      </w:r>
    </w:p>
    <w:p>
      <w:pPr>
        <w:pStyle w:val="Style2"/>
        <w:keepNext w:val="0"/>
        <w:keepLines w:val="0"/>
        <w:widowControl w:val="0"/>
        <w:shd w:val="clear" w:color="auto" w:fill="auto"/>
        <w:bidi w:val="0"/>
        <w:spacing w:before="0" w:line="252" w:lineRule="auto"/>
        <w:ind w:left="1700" w:right="0" w:firstLine="520"/>
        <w:jc w:val="both"/>
      </w:pPr>
      <w:r>
        <w:rPr>
          <w:rStyle w:val="CharStyle3"/>
        </w:rPr>
        <w:t>+ Trung tâm Thẻ: Đầu mối đăng ký kế hoạch đầu tư dự án mua sắm TSCĐ, dự án thuộc nghiệp vụ thẻ phục vụ hoạt động chung của Agribank; kế hoạch mua sắm TSCĐ phục vụ hoạt động cho Trung tâm Thẻ.</w:t>
      </w:r>
    </w:p>
    <w:p>
      <w:pPr>
        <w:pStyle w:val="Style2"/>
        <w:keepNext w:val="0"/>
        <w:keepLines w:val="0"/>
        <w:widowControl w:val="0"/>
        <w:shd w:val="clear" w:color="auto" w:fill="auto"/>
        <w:bidi w:val="0"/>
        <w:spacing w:before="0" w:line="257" w:lineRule="auto"/>
        <w:ind w:left="1700" w:right="0" w:firstLine="520"/>
        <w:jc w:val="both"/>
      </w:pPr>
      <w:r>
        <w:rPr>
          <w:rStyle w:val="CharStyle3"/>
        </w:rPr>
        <w:t>+ Đơn vị kế hoạch khác: Đãng ký kế hoạch mua sắm TSCĐ, nhận chuyển nhượng bất động sản cho đơn vị.</w:t>
      </w:r>
    </w:p>
    <w:p>
      <w:pPr>
        <w:pStyle w:val="Style2"/>
        <w:keepNext w:val="0"/>
        <w:keepLines w:val="0"/>
        <w:widowControl w:val="0"/>
        <w:numPr>
          <w:ilvl w:val="0"/>
          <w:numId w:val="3"/>
        </w:numPr>
        <w:shd w:val="clear" w:color="auto" w:fill="auto"/>
        <w:tabs>
          <w:tab w:pos="2460" w:val="left"/>
        </w:tabs>
        <w:bidi w:val="0"/>
        <w:spacing w:before="0" w:line="252" w:lineRule="auto"/>
        <w:ind w:left="2200" w:right="0" w:firstLine="0"/>
        <w:jc w:val="left"/>
      </w:pPr>
      <w:r>
        <w:rPr>
          <w:rStyle w:val="CharStyle3"/>
        </w:rPr>
        <w:t>Hồ sơ đăng ký kế hoạch gồm:</w:t>
      </w:r>
    </w:p>
    <w:p>
      <w:pPr>
        <w:pStyle w:val="Style2"/>
        <w:keepNext w:val="0"/>
        <w:keepLines w:val="0"/>
        <w:widowControl w:val="0"/>
        <w:shd w:val="clear" w:color="auto" w:fill="auto"/>
        <w:bidi w:val="0"/>
        <w:spacing w:before="0" w:line="252" w:lineRule="auto"/>
        <w:ind w:left="1700" w:right="0" w:firstLine="520"/>
        <w:jc w:val="both"/>
      </w:pPr>
      <w:r>
        <w:rPr>
          <w:rStyle w:val="CharStyle3"/>
        </w:rPr>
        <w:t>Đối với TSCĐ mua sắm phục vụ hoạt động chung của Agribank: Báo cáo đề xuất đầu tư, nội dung gồm: Sự cần thiết đầu tư, hiệu quả đầu tư; phương án đầu tư sơ bộ, công nghệ, kỹ thuật; mối quan hệ với các dự án khác đang triển khai (nếu có); quỵ mô, địa điểm triển khai; dự kiến tổng mức đầu tư trình Tổng Giám đốc/Phó Tổng Giám đốc phụ trách lĩnh vực có ý kiến về Báo cáo đề xuất đầu tư trước khi gửi đăng ký kế hoạch.”</w:t>
      </w:r>
    </w:p>
    <w:p>
      <w:pPr>
        <w:pStyle w:val="Style21"/>
        <w:keepNext/>
        <w:keepLines/>
        <w:widowControl w:val="0"/>
        <w:numPr>
          <w:ilvl w:val="0"/>
          <w:numId w:val="5"/>
        </w:numPr>
        <w:shd w:val="clear" w:color="auto" w:fill="auto"/>
        <w:tabs>
          <w:tab w:pos="2558" w:val="left"/>
        </w:tabs>
        <w:bidi w:val="0"/>
        <w:spacing w:before="0" w:line="252" w:lineRule="auto"/>
        <w:ind w:right="0" w:firstLine="0"/>
        <w:jc w:val="left"/>
      </w:pPr>
      <w:bookmarkStart w:id="2" w:name="bookmark2"/>
      <w:r>
        <w:rPr>
          <w:rStyle w:val="CharStyle22"/>
          <w:b/>
          <w:bCs/>
        </w:rPr>
        <w:t>Sửa đổi, bổ sung Điều 11 như sau:</w:t>
      </w:r>
      <w:bookmarkEnd w:id="2"/>
    </w:p>
    <w:p>
      <w:pPr>
        <w:pStyle w:val="Style2"/>
        <w:keepNext w:val="0"/>
        <w:keepLines w:val="0"/>
        <w:widowControl w:val="0"/>
        <w:numPr>
          <w:ilvl w:val="0"/>
          <w:numId w:val="7"/>
        </w:numPr>
        <w:shd w:val="clear" w:color="auto" w:fill="auto"/>
        <w:tabs>
          <w:tab w:pos="2576" w:val="left"/>
        </w:tabs>
        <w:bidi w:val="0"/>
        <w:spacing w:before="0" w:line="252" w:lineRule="auto"/>
        <w:ind w:left="2200" w:right="0" w:firstLine="0"/>
        <w:jc w:val="left"/>
      </w:pPr>
      <w:r>
        <w:rPr>
          <w:rStyle w:val="CharStyle3"/>
        </w:rPr>
        <w:t>Sửa đổi, bổ sung khoản 1:</w:t>
      </w:r>
    </w:p>
    <w:p>
      <w:pPr>
        <w:pStyle w:val="Style2"/>
        <w:keepNext w:val="0"/>
        <w:keepLines w:val="0"/>
        <w:widowControl w:val="0"/>
        <w:shd w:val="clear" w:color="auto" w:fill="auto"/>
        <w:bidi w:val="0"/>
        <w:spacing w:before="0"/>
        <w:ind w:left="1700" w:right="0" w:firstLine="520"/>
        <w:jc w:val="both"/>
      </w:pPr>
      <w:r>
        <w:rPr>
          <w:rStyle w:val="CharStyle3"/>
        </w:rPr>
        <w:t>“1. Tùy tính chất dự án, đơn vị kế hoạch trình cấp thẩm quyền thành lập Ban Quản lý dự án (nêu cân). Ban Quản lý dự án có thể được giao quản lý nhiêu dự án nếu đủ điều kiện. Thành phần gồm: Người đứng đầu hoặc cấp phó đơn vị kế hoạch làm Giám đốc Ban Quản lý dự án, lãnh đạo đơn vị/trung tâm nghiệp vụ liên quan làm Phó Giám đốc Ban Quản lý dự án, đại diện đơn vị kế hoạch, đại diện một số Ban, Trung tâm tại Trụ sở chính (nếu cần thiết) làm thành viên. Giám đốc Ban Quản lý dự án phân công công việc cho thành viên phù hợp năng lực chuyên môn theo từng giai đoạn của dự án.</w:t>
      </w:r>
    </w:p>
    <w:p>
      <w:pPr>
        <w:pStyle w:val="Style2"/>
        <w:keepNext w:val="0"/>
        <w:keepLines w:val="0"/>
        <w:widowControl w:val="0"/>
        <w:shd w:val="clear" w:color="auto" w:fill="auto"/>
        <w:bidi w:val="0"/>
        <w:spacing w:before="0" w:line="257" w:lineRule="auto"/>
        <w:ind w:left="1700" w:right="0" w:firstLine="520"/>
        <w:jc w:val="both"/>
      </w:pPr>
      <w:r>
        <w:rPr>
          <w:rStyle w:val="CharStyle3"/>
        </w:rPr>
        <w:t>Đối với dự án CNTT có tổng mức đầu tư từ 100 tỷ đồng trở lên, Phó Tổng Giám đốc phụ trách lĩnh vực CNTT làm Giám đốc Ban Quản lý dự án.”</w:t>
      </w:r>
    </w:p>
    <w:p>
      <w:pPr>
        <w:pStyle w:val="Style2"/>
        <w:keepNext w:val="0"/>
        <w:keepLines w:val="0"/>
        <w:widowControl w:val="0"/>
        <w:numPr>
          <w:ilvl w:val="0"/>
          <w:numId w:val="7"/>
        </w:numPr>
        <w:shd w:val="clear" w:color="auto" w:fill="auto"/>
        <w:tabs>
          <w:tab w:pos="2586" w:val="left"/>
        </w:tabs>
        <w:bidi w:val="0"/>
        <w:spacing w:before="0" w:line="252" w:lineRule="auto"/>
        <w:ind w:left="2200" w:right="0" w:firstLine="0"/>
        <w:jc w:val="left"/>
      </w:pPr>
      <w:r>
        <w:rPr>
          <w:rStyle w:val="CharStyle3"/>
        </w:rPr>
        <w:t>Sửa đổi, bổ sung điểm c khoản 2:</w:t>
      </w:r>
    </w:p>
    <w:p>
      <w:pPr>
        <w:pStyle w:val="Style2"/>
        <w:keepNext w:val="0"/>
        <w:keepLines w:val="0"/>
        <w:widowControl w:val="0"/>
        <w:shd w:val="clear" w:color="auto" w:fill="auto"/>
        <w:bidi w:val="0"/>
        <w:spacing w:before="0" w:line="257" w:lineRule="auto"/>
        <w:ind w:left="1700" w:right="0" w:firstLine="520"/>
        <w:jc w:val="both"/>
      </w:pPr>
      <w:r>
        <w:rPr>
          <w:rStyle w:val="CharStyle3"/>
        </w:rPr>
        <w:t>“c) Lập hoặc thuê tư vấn lập báo cáo nghiên cứu tiền khả thi, báo cáo nghiên cứu khả thi;”</w:t>
      </w:r>
    </w:p>
    <w:p>
      <w:pPr>
        <w:pStyle w:val="Style21"/>
        <w:keepNext/>
        <w:keepLines/>
        <w:widowControl w:val="0"/>
        <w:numPr>
          <w:ilvl w:val="0"/>
          <w:numId w:val="5"/>
        </w:numPr>
        <w:shd w:val="clear" w:color="auto" w:fill="auto"/>
        <w:tabs>
          <w:tab w:pos="2572" w:val="left"/>
        </w:tabs>
        <w:bidi w:val="0"/>
        <w:spacing w:before="0" w:line="252" w:lineRule="auto"/>
        <w:ind w:right="0" w:firstLine="0"/>
        <w:jc w:val="left"/>
      </w:pPr>
      <w:bookmarkStart w:id="4" w:name="bookmark4"/>
      <w:r>
        <w:rPr>
          <w:rStyle w:val="CharStyle22"/>
          <w:b/>
          <w:bCs/>
        </w:rPr>
        <w:t>Sủa đổi, bổ sung điểm a khoản 1 Điều 14 như sau:</w:t>
      </w:r>
      <w:bookmarkEnd w:id="4"/>
    </w:p>
    <w:p>
      <w:pPr>
        <w:pStyle w:val="Style2"/>
        <w:keepNext w:val="0"/>
        <w:keepLines w:val="0"/>
        <w:widowControl w:val="0"/>
        <w:shd w:val="clear" w:color="auto" w:fill="auto"/>
        <w:bidi w:val="0"/>
        <w:spacing w:before="0" w:line="252" w:lineRule="auto"/>
        <w:ind w:left="2200" w:right="0" w:firstLine="0"/>
        <w:jc w:val="left"/>
      </w:pPr>
      <w:r>
        <w:rPr>
          <w:rStyle w:val="CharStyle3"/>
        </w:rPr>
        <w:t>“a) Sự cần thiết đầu tư (khảo sát, đánh giá thực trạng và sự cần thiết đầu tư);”</w:t>
      </w:r>
    </w:p>
    <w:p>
      <w:pPr>
        <w:pStyle w:val="Style21"/>
        <w:keepNext/>
        <w:keepLines/>
        <w:widowControl w:val="0"/>
        <w:numPr>
          <w:ilvl w:val="0"/>
          <w:numId w:val="5"/>
        </w:numPr>
        <w:shd w:val="clear" w:color="auto" w:fill="auto"/>
        <w:tabs>
          <w:tab w:pos="2561" w:val="left"/>
        </w:tabs>
        <w:bidi w:val="0"/>
        <w:spacing w:before="0" w:line="252" w:lineRule="auto"/>
        <w:ind w:right="0" w:firstLine="0"/>
        <w:jc w:val="left"/>
      </w:pPr>
      <w:bookmarkStart w:id="6" w:name="bookmark6"/>
      <w:r>
        <w:rPr>
          <w:rStyle w:val="CharStyle22"/>
          <w:b/>
          <w:bCs/>
        </w:rPr>
        <w:t>Sủa đổi, bổ sung điểm a khoản 2 Điều 21 như sau:</w:t>
      </w:r>
      <w:bookmarkEnd w:id="6"/>
    </w:p>
    <w:p>
      <w:pPr>
        <w:pStyle w:val="Style2"/>
        <w:keepNext w:val="0"/>
        <w:keepLines w:val="0"/>
        <w:widowControl w:val="0"/>
        <w:shd w:val="clear" w:color="auto" w:fill="auto"/>
        <w:bidi w:val="0"/>
        <w:spacing w:before="0" w:line="240" w:lineRule="auto"/>
        <w:ind w:left="1700" w:right="0" w:firstLine="520"/>
        <w:jc w:val="both"/>
      </w:pPr>
      <w:r>
        <w:rPr>
          <w:rStyle w:val="CharStyle3"/>
        </w:rPr>
        <w:t>“a) Tổng mức vốn tạm ứng không được vượt quá 30% giá trị hợp đồng (bao gồm cả dự phòng nếu có). Trường hợp đặc biệt cần tạm ứng với mức cao hơn phải được người quyết định đầu tư cho phép;”</w:t>
      </w:r>
    </w:p>
    <w:p>
      <w:pPr>
        <w:pStyle w:val="Style21"/>
        <w:keepNext/>
        <w:keepLines/>
        <w:widowControl w:val="0"/>
        <w:numPr>
          <w:ilvl w:val="0"/>
          <w:numId w:val="5"/>
        </w:numPr>
        <w:shd w:val="clear" w:color="auto" w:fill="auto"/>
        <w:tabs>
          <w:tab w:pos="2568" w:val="left"/>
        </w:tabs>
        <w:bidi w:val="0"/>
        <w:spacing w:before="0" w:line="252" w:lineRule="auto"/>
        <w:ind w:right="0" w:firstLine="0"/>
        <w:jc w:val="left"/>
      </w:pPr>
      <w:bookmarkStart w:id="8" w:name="bookmark8"/>
      <w:r>
        <w:rPr>
          <w:rStyle w:val="CharStyle22"/>
          <w:b/>
          <w:bCs/>
        </w:rPr>
        <w:t>Sửa đổi, bổ sung khoản 2 Điều 23 như sau:</w:t>
      </w:r>
      <w:bookmarkEnd w:id="8"/>
    </w:p>
    <w:p>
      <w:pPr>
        <w:pStyle w:val="Style2"/>
        <w:keepNext w:val="0"/>
        <w:keepLines w:val="0"/>
        <w:widowControl w:val="0"/>
        <w:shd w:val="clear" w:color="auto" w:fill="auto"/>
        <w:bidi w:val="0"/>
        <w:spacing w:before="0" w:line="240" w:lineRule="auto"/>
        <w:ind w:left="1700" w:right="0" w:firstLine="520"/>
        <w:jc w:val="both"/>
        <w:sectPr>
          <w:footnotePr>
            <w:pos w:val="pageBottom"/>
            <w:numFmt w:val="decimal"/>
            <w:numRestart w:val="continuous"/>
          </w:footnotePr>
          <w:type w:val="continuous"/>
          <w:pgSz w:w="11900" w:h="16840"/>
          <w:pgMar w:top="1389" w:right="1414" w:bottom="1329" w:left="179" w:header="0" w:footer="3" w:gutter="0"/>
          <w:cols w:space="720"/>
          <w:noEndnote/>
          <w:rtlGutter w:val="0"/>
          <w:docGrid w:linePitch="360"/>
        </w:sectPr>
      </w:pPr>
      <w:r>
        <w:rPr>
          <w:rStyle w:val="CharStyle3"/>
        </w:rPr>
        <w:t>“2. Chủ đầu tư được phép thanh toán tối đa 95% giá hợp đồng cho nhà thầu (riêng hợp đồng tư vấn được thanh toán tối đa 100% giạ hợp đảng) sau khi hoàn thành nghiệm thu, bàn giao tài sản và nhà thầu cung cấp đầy đủ chứng từ cho chủ đầu tư theo quy định của hợp đồng. Giá trị còn lại của hợp đồng sẽ được thanh toán cho nhà thầu sau khi hoàn thành quyết toán vốn đầu tư dự án và chủ</w:t>
      </w:r>
    </w:p>
    <w:p>
      <w:pPr>
        <w:pStyle w:val="Style2"/>
        <w:keepNext w:val="0"/>
        <w:keepLines w:val="0"/>
        <w:widowControl w:val="0"/>
        <w:shd w:val="clear" w:color="auto" w:fill="auto"/>
        <w:bidi w:val="0"/>
        <w:spacing w:before="0"/>
        <w:ind w:left="1720" w:right="0" w:firstLine="0"/>
        <w:jc w:val="left"/>
      </w:pPr>
      <w:r>
        <w:rPr>
          <w:rStyle w:val="CharStyle3"/>
        </w:rPr>
        <w:t>đầu tư đã nhận được bảo đảm bảo hành từ nhà thầu.”</w:t>
      </w:r>
    </w:p>
    <w:p>
      <w:pPr>
        <w:pStyle w:val="Style21"/>
        <w:keepNext/>
        <w:keepLines/>
        <w:widowControl w:val="0"/>
        <w:numPr>
          <w:ilvl w:val="0"/>
          <w:numId w:val="5"/>
        </w:numPr>
        <w:shd w:val="clear" w:color="auto" w:fill="auto"/>
        <w:tabs>
          <w:tab w:pos="2570" w:val="left"/>
        </w:tabs>
        <w:bidi w:val="0"/>
        <w:spacing w:before="0"/>
        <w:ind w:left="2220" w:right="0" w:firstLine="0"/>
        <w:jc w:val="left"/>
      </w:pPr>
      <w:bookmarkStart w:id="10" w:name="bookmark10"/>
      <w:r>
        <w:rPr>
          <w:rStyle w:val="CharStyle22"/>
          <w:b/>
          <w:bCs/>
        </w:rPr>
        <w:t>Sửa đổi khoản 1 Điều 25 như sau:</w:t>
      </w:r>
      <w:bookmarkEnd w:id="10"/>
    </w:p>
    <w:p>
      <w:pPr>
        <w:pStyle w:val="Style2"/>
        <w:keepNext w:val="0"/>
        <w:keepLines w:val="0"/>
        <w:widowControl w:val="0"/>
        <w:numPr>
          <w:ilvl w:val="0"/>
          <w:numId w:val="5"/>
        </w:numPr>
        <w:shd w:val="clear" w:color="auto" w:fill="auto"/>
        <w:tabs>
          <w:tab w:pos="2606" w:val="left"/>
        </w:tabs>
        <w:bidi w:val="0"/>
        <w:spacing w:before="0"/>
        <w:ind w:left="1720" w:right="0" w:firstLine="520"/>
        <w:jc w:val="both"/>
      </w:pPr>
      <w:r>
        <w:rPr>
          <w:rStyle w:val="CharStyle3"/>
        </w:rPr>
        <w:t>. Vốn đầu tư dự án được quyết toán là toàn bộ chi phí hợp pháp thực hiện trong quá trình đâu tư đê đưa dự án vào khai thác, sử dụng. Cụ thê như sau:</w:t>
      </w:r>
    </w:p>
    <w:p>
      <w:pPr>
        <w:pStyle w:val="Style2"/>
        <w:keepNext w:val="0"/>
        <w:keepLines w:val="0"/>
        <w:widowControl w:val="0"/>
        <w:numPr>
          <w:ilvl w:val="0"/>
          <w:numId w:val="9"/>
        </w:numPr>
        <w:shd w:val="clear" w:color="auto" w:fill="auto"/>
        <w:tabs>
          <w:tab w:pos="2573" w:val="left"/>
        </w:tabs>
        <w:bidi w:val="0"/>
        <w:spacing w:before="0"/>
        <w:ind w:left="2220" w:right="0" w:firstLine="0"/>
        <w:jc w:val="left"/>
      </w:pPr>
      <w:r>
        <w:rPr>
          <w:rStyle w:val="CharStyle3"/>
        </w:rPr>
        <w:t>Hồ sơ trình phê duyệt quyết toán:</w:t>
      </w:r>
    </w:p>
    <w:p>
      <w:pPr>
        <w:pStyle w:val="Style2"/>
        <w:keepNext w:val="0"/>
        <w:keepLines w:val="0"/>
        <w:widowControl w:val="0"/>
        <w:numPr>
          <w:ilvl w:val="0"/>
          <w:numId w:val="11"/>
        </w:numPr>
        <w:shd w:val="clear" w:color="auto" w:fill="auto"/>
        <w:tabs>
          <w:tab w:pos="2480" w:val="left"/>
        </w:tabs>
        <w:bidi w:val="0"/>
        <w:spacing w:before="0" w:line="257" w:lineRule="auto"/>
        <w:ind w:left="1720" w:right="0" w:firstLine="520"/>
        <w:jc w:val="both"/>
      </w:pPr>
      <w:r>
        <w:rPr>
          <w:rStyle w:val="CharStyle3"/>
        </w:rPr>
        <w:t>Tờ trình đề nghị phê duyệt quyết toán vốn đầu tư dự án hoàn thành. Trường hợp kiểm toán độc lập thực hiện kiểm toán, tờ trình phải nêu rõ những nội dung thống nhất, nội dung không thống nhất và lý do không thống nhất giữa chủ đầu tư và kiểm toán độc lập. Trường hợp các cơ quan thực hiện chức năng thanh tra, kiểm tra, kiểm toán nhà nước, cơ quan pháp luật đã thực hiện thanh tra, kiểm tra, kiểm toán, điều tra dự án, trong tờ trình chù đầu tư phải nêu rõ việc chấp hành các kiến nghị, kết luận của các cơ quan trên.</w:t>
      </w:r>
    </w:p>
    <w:p>
      <w:pPr>
        <w:pStyle w:val="Style2"/>
        <w:keepNext w:val="0"/>
        <w:keepLines w:val="0"/>
        <w:widowControl w:val="0"/>
        <w:numPr>
          <w:ilvl w:val="0"/>
          <w:numId w:val="11"/>
        </w:numPr>
        <w:shd w:val="clear" w:color="auto" w:fill="auto"/>
        <w:tabs>
          <w:tab w:pos="2480" w:val="left"/>
        </w:tabs>
        <w:bidi w:val="0"/>
        <w:spacing w:before="0"/>
        <w:ind w:left="1720" w:right="0" w:firstLine="520"/>
        <w:jc w:val="both"/>
      </w:pPr>
      <w:r>
        <w:rPr>
          <w:rStyle w:val="CharStyle3"/>
        </w:rPr>
        <w:t>Biểu mẫu báo cáo quyết toán theo quy định tại Thông tư 96/2021/TT- BTC ngày 11/11/2021 của Bộ Tài chính Quy định về hệ thống mẫu biểu sử dụng trong công tác quyết toán.</w:t>
      </w:r>
    </w:p>
    <w:p>
      <w:pPr>
        <w:pStyle w:val="Style2"/>
        <w:keepNext w:val="0"/>
        <w:keepLines w:val="0"/>
        <w:widowControl w:val="0"/>
        <w:numPr>
          <w:ilvl w:val="0"/>
          <w:numId w:val="11"/>
        </w:numPr>
        <w:shd w:val="clear" w:color="auto" w:fill="auto"/>
        <w:tabs>
          <w:tab w:pos="2926" w:val="left"/>
        </w:tabs>
        <w:bidi w:val="0"/>
        <w:spacing w:before="0"/>
        <w:ind w:left="2220" w:right="0" w:firstLine="0"/>
        <w:jc w:val="left"/>
      </w:pPr>
      <w:r>
        <w:rPr>
          <w:rStyle w:val="CharStyle3"/>
        </w:rPr>
        <w:t>Các văn bản pháp lý có liên quan khác.</w:t>
      </w:r>
    </w:p>
    <w:p>
      <w:pPr>
        <w:pStyle w:val="Style2"/>
        <w:keepNext w:val="0"/>
        <w:keepLines w:val="0"/>
        <w:widowControl w:val="0"/>
        <w:numPr>
          <w:ilvl w:val="0"/>
          <w:numId w:val="11"/>
        </w:numPr>
        <w:shd w:val="clear" w:color="auto" w:fill="auto"/>
        <w:tabs>
          <w:tab w:pos="2473" w:val="left"/>
        </w:tabs>
        <w:bidi w:val="0"/>
        <w:spacing w:before="0"/>
        <w:ind w:left="1720" w:right="0" w:firstLine="520"/>
        <w:jc w:val="both"/>
      </w:pPr>
      <w:r>
        <mc:AlternateContent>
          <mc:Choice Requires="wps">
            <w:drawing>
              <wp:anchor distT="0" distB="0" distL="50800" distR="50800" simplePos="0" relativeHeight="125829390" behindDoc="0" locked="0" layoutInCell="1" allowOverlap="1">
                <wp:simplePos x="0" y="0"/>
                <wp:positionH relativeFrom="page">
                  <wp:posOffset>6772910</wp:posOffset>
                </wp:positionH>
                <wp:positionV relativeFrom="paragraph">
                  <wp:posOffset>228600</wp:posOffset>
                </wp:positionV>
                <wp:extent cx="381635" cy="905510"/>
                <wp:wrapSquare wrapText="bothSides"/>
                <wp:docPr id="15" name="Shape 15"/>
                <a:graphic xmlns:a="http://schemas.openxmlformats.org/drawingml/2006/main">
                  <a:graphicData uri="http://schemas.microsoft.com/office/word/2010/wordprocessingShape">
                    <wps:wsp>
                      <wps:cNvSpPr txBox="1"/>
                      <wps:spPr>
                        <a:xfrm>
                          <a:ext cx="381635" cy="905510"/>
                        </a:xfrm>
                        <a:prstGeom prst="rect"/>
                        <a:noFill/>
                      </wps:spPr>
                      <wps:txbx>
                        <w:txbxContent>
                          <w:p>
                            <w:pPr>
                              <w:widowControl w:val="0"/>
                            </w:pPr>
                          </w:p>
                        </w:txbxContent>
                      </wps:txbx>
                      <wps:bodyPr wrap="none" lIns="0" tIns="0" rIns="0" bIns="0">
                        <a:noAutoFit/>
                      </wps:bodyPr>
                    </wps:wsp>
                  </a:graphicData>
                </a:graphic>
              </wp:anchor>
            </w:drawing>
          </mc:Choice>
          <mc:Fallback>
            <w:pict>
              <v:shape id="_x0000_s1041" type="#_x0000_t202" style="position:absolute;margin-left:533.29999999999995pt;margin-top:18.pt;width:30.050000000000001pt;height:71.299999999999997pt;z-index:-125829363;mso-wrap-distance-left:4.pt;mso-wrap-distance-right:4.pt;mso-position-horizontal-relative:page" filled="f" stroked="f">
                <v:textbox inset="0,0,0,0">
                  <w:txbxContent>
                    <w:p>
                      <w:pPr>
                        <w:widowControl w:val="0"/>
                      </w:pPr>
                    </w:p>
                  </w:txbxContent>
                </v:textbox>
                <w10:wrap type="square" anchorx="page"/>
              </v:shape>
            </w:pict>
          </mc:Fallback>
        </mc:AlternateContent>
      </w:r>
      <w:r>
        <w:rPr>
          <w:rStyle w:val="CharStyle3"/>
        </w:rPr>
        <w:t xml:space="preserve">Hồ sơ quyết toán của từng hợp đồng gồm các tài liệu: Hợp đồng và các phụ lục hợp đông (nếu có); biên bản nghiệm thu hoàn thành; bảng tính giá trị quyêt toán hợp đông giữa chủ đâu tư và nhà thâu (quyêt toán </w:t>
      </w:r>
      <w:r>
        <w:rPr>
          <w:rStyle w:val="CharStyle3"/>
          <w:lang w:val="en-US" w:eastAsia="en-US" w:bidi="en-US"/>
        </w:rPr>
        <w:t xml:space="preserve">A </w:t>
      </w:r>
      <w:r>
        <w:rPr>
          <w:rStyle w:val="CharStyle3"/>
        </w:rPr>
        <w:t>- B); biên bàn thanh lý hợp đồng đối với trường hợp đã đủ điều kiện thanh lý hợp đông theo quy định của pháp luật về hợp đồng; các tài liệu liên quan khác.</w:t>
      </w:r>
    </w:p>
    <w:p>
      <w:pPr>
        <w:pStyle w:val="Style2"/>
        <w:keepNext w:val="0"/>
        <w:keepLines w:val="0"/>
        <w:widowControl w:val="0"/>
        <w:numPr>
          <w:ilvl w:val="0"/>
          <w:numId w:val="11"/>
        </w:numPr>
        <w:shd w:val="clear" w:color="auto" w:fill="auto"/>
        <w:tabs>
          <w:tab w:pos="2476" w:val="left"/>
        </w:tabs>
        <w:bidi w:val="0"/>
        <w:spacing w:before="0" w:line="259" w:lineRule="auto"/>
        <w:ind w:left="1720" w:right="0" w:firstLine="520"/>
        <w:jc w:val="both"/>
      </w:pPr>
      <w:r>
        <w:rPr>
          <w:rStyle w:val="CharStyle3"/>
        </w:rPr>
        <w:t>Báo cáo kiểm toán của đơn vị kiểm toán độc lập trong trường hợp thuê kiểm toán độc lập thực hiện kiểm toán.</w:t>
      </w:r>
    </w:p>
    <w:p>
      <w:pPr>
        <w:pStyle w:val="Style2"/>
        <w:keepNext w:val="0"/>
        <w:keepLines w:val="0"/>
        <w:widowControl w:val="0"/>
        <w:numPr>
          <w:ilvl w:val="0"/>
          <w:numId w:val="11"/>
        </w:numPr>
        <w:shd w:val="clear" w:color="auto" w:fill="auto"/>
        <w:tabs>
          <w:tab w:pos="2469" w:val="left"/>
        </w:tabs>
        <w:bidi w:val="0"/>
        <w:spacing w:before="0" w:line="240" w:lineRule="auto"/>
        <w:ind w:left="1720" w:right="0" w:firstLine="520"/>
        <w:jc w:val="both"/>
      </w:pPr>
      <w:r>
        <w:rPr>
          <w:rStyle w:val="CharStyle3"/>
        </w:rPr>
        <w:t>Báo cáo kiểm toán hoặc thông báo kết quả kiểm toán, kết luận thanh tra, biên bản kiểm tra,' quyết định xử lý vi phạm của các cơ quan Kiểm toán nhà nước, thanh tra (nêu có). Báo cáo của chủ đâu tư kèm các tài liệu liên quan vê tình hình chấp hành các kiến nghị của các cơ quan nêu trên.</w:t>
      </w:r>
    </w:p>
    <w:p>
      <w:pPr>
        <w:pStyle w:val="Style2"/>
        <w:keepNext w:val="0"/>
        <w:keepLines w:val="0"/>
        <w:widowControl w:val="0"/>
        <w:numPr>
          <w:ilvl w:val="0"/>
          <w:numId w:val="9"/>
        </w:numPr>
        <w:shd w:val="clear" w:color="auto" w:fill="auto"/>
        <w:tabs>
          <w:tab w:pos="2746" w:val="left"/>
        </w:tabs>
        <w:bidi w:val="0"/>
        <w:spacing w:before="0"/>
        <w:ind w:left="1720" w:right="0" w:firstLine="680"/>
        <w:jc w:val="both"/>
      </w:pPr>
      <w:r>
        <w:rPr>
          <w:rStyle w:val="CharStyle3"/>
        </w:rPr>
        <w:t>Thẩm quyền phê duyệt quyết toán: Người có thẩm quyền quyết định phê duyệt dự án là người có thâm quyên phê duyệt quyêt toán hoặc ủy quyên phê duyệt quyết toán vốn đầu tư dự án hoàn thành.</w:t>
      </w:r>
    </w:p>
    <w:p>
      <w:pPr>
        <w:pStyle w:val="Style2"/>
        <w:keepNext w:val="0"/>
        <w:keepLines w:val="0"/>
        <w:widowControl w:val="0"/>
        <w:numPr>
          <w:ilvl w:val="0"/>
          <w:numId w:val="9"/>
        </w:numPr>
        <w:shd w:val="clear" w:color="auto" w:fill="auto"/>
        <w:tabs>
          <w:tab w:pos="2753" w:val="left"/>
        </w:tabs>
        <w:bidi w:val="0"/>
        <w:spacing w:before="0"/>
        <w:ind w:left="1720" w:right="0" w:firstLine="680"/>
        <w:jc w:val="both"/>
      </w:pPr>
      <w:r>
        <w:rPr>
          <w:rStyle w:val="CharStyle3"/>
        </w:rPr>
        <w:t>Kiểm toán báo cáo quyết toán:</w:t>
      </w:r>
    </w:p>
    <w:p>
      <w:pPr>
        <w:pStyle w:val="Style2"/>
        <w:keepNext w:val="0"/>
        <w:keepLines w:val="0"/>
        <w:widowControl w:val="0"/>
        <w:shd w:val="clear" w:color="auto" w:fill="auto"/>
        <w:bidi w:val="0"/>
        <w:spacing w:before="0"/>
        <w:ind w:left="1720" w:right="0" w:firstLine="680"/>
        <w:jc w:val="both"/>
      </w:pPr>
      <w:r>
        <w:rPr>
          <w:rStyle w:val="CharStyle3"/>
        </w:rPr>
        <w:t>Dự án nhóm A khi hoàn thành phải kiểm toán báo cáo quyết toán trước khi trình cấp có thẩm quyền thẩm tra, phê duyệt quyết toán. Các dự án còn lại, người có thầm quyền quyết định phê duyệt đầu tư dự án xem xét, quyết định thuê kiểm toán độc lập đế kiểm toán báo cáo quyết toán theo quy định của pháp luật.</w:t>
      </w:r>
    </w:p>
    <w:p>
      <w:pPr>
        <w:pStyle w:val="Style2"/>
        <w:keepNext w:val="0"/>
        <w:keepLines w:val="0"/>
        <w:widowControl w:val="0"/>
        <w:shd w:val="clear" w:color="auto" w:fill="auto"/>
        <w:bidi w:val="0"/>
        <w:spacing w:before="0" w:line="240" w:lineRule="auto"/>
        <w:ind w:left="1720" w:right="0" w:firstLine="680"/>
        <w:jc w:val="both"/>
      </w:pPr>
      <w:r>
        <w:rPr>
          <w:rStyle w:val="CharStyle3"/>
        </w:rPr>
        <w:t>- Đối với các dự án được cơ quan Kiểm toán nhà nước, cơ quan thanh tra thực hiện kiểm toán, thanh tra:</w:t>
      </w:r>
    </w:p>
    <w:p>
      <w:pPr>
        <w:pStyle w:val="Style2"/>
        <w:keepNext w:val="0"/>
        <w:keepLines w:val="0"/>
        <w:widowControl w:val="0"/>
        <w:shd w:val="clear" w:color="auto" w:fill="auto"/>
        <w:bidi w:val="0"/>
        <w:spacing w:before="0" w:line="240" w:lineRule="auto"/>
        <w:ind w:left="1720" w:right="0" w:firstLine="680"/>
        <w:jc w:val="both"/>
        <w:sectPr>
          <w:footnotePr>
            <w:pos w:val="pageBottom"/>
            <w:numFmt w:val="decimal"/>
            <w:numRestart w:val="continuous"/>
          </w:footnotePr>
          <w:pgSz w:w="11900" w:h="16840"/>
          <w:pgMar w:top="1414" w:right="1421" w:bottom="1414" w:left="172" w:header="0" w:footer="3" w:gutter="0"/>
          <w:cols w:space="720"/>
          <w:noEndnote/>
          <w:rtlGutter w:val="0"/>
          <w:docGrid w:linePitch="360"/>
        </w:sectPr>
      </w:pPr>
      <w:r>
        <w:rPr>
          <w:rStyle w:val="CharStyle3"/>
        </w:rPr>
        <w:t>+ Trường hợp Kiểm toán nhà nước, cơ quan thanh tra thực hiện kiểm toán, thanh tra và phát hành báo cáo kiểm toán, kết luận thanh tra có đủ nội dung quy định tại tiết 2 điểm c khoản 1 Điều này, đơn vị chủ trì thẩm tra quyết toán</w:t>
      </w:r>
    </w:p>
    <w:p>
      <w:pPr>
        <w:pStyle w:val="Style2"/>
        <w:keepNext w:val="0"/>
        <w:keepLines w:val="0"/>
        <w:widowControl w:val="0"/>
        <w:shd w:val="clear" w:color="auto" w:fill="auto"/>
        <w:bidi w:val="0"/>
        <w:spacing w:before="0"/>
        <w:ind w:left="1800" w:right="0" w:firstLine="20"/>
        <w:jc w:val="both"/>
      </w:pPr>
      <w:r>
        <w:rPr>
          <w:rStyle w:val="CharStyle3"/>
        </w:rPr>
        <w:t>dự án sử dụng kết quả báo cáo kiểm toán của Kiểm toán nhà nước, kết luận thanh tra của cơ quan thanh tra làm căn cứ để thẩm tra; không phải thuê kiểm toán độc lập để kiểm toán.</w:t>
      </w:r>
    </w:p>
    <w:p>
      <w:pPr>
        <w:pStyle w:val="Style2"/>
        <w:keepNext w:val="0"/>
        <w:keepLines w:val="0"/>
        <w:widowControl w:val="0"/>
        <w:shd w:val="clear" w:color="auto" w:fill="auto"/>
        <w:bidi w:val="0"/>
        <w:spacing w:before="0"/>
        <w:ind w:left="1800" w:right="0" w:firstLine="680"/>
        <w:jc w:val="both"/>
      </w:pPr>
      <w:r>
        <w:rPr>
          <w:rStyle w:val="CharStyle3"/>
        </w:rPr>
        <w:t>+ Trường hợp Kiểm toán nhà nước, cơ quan thanh tra thực hiện kiểm toán, thanh tra thực hiện chưa đủ các nội dung quy định tại tiết 2 điểm c khoản 1 Điều này, chủ đầu tư xác định nội dung, phạm vi kiểm toán bổ sung và lựa chọn nhà thầu kiểm toán độc lập để kiểm toán bồ sung trong trường hợp cần thiết. Chi phí kiểm toán bổ sung được xác định tương tự như xác định chi phí thuê kiểm toán độc lập. Đơn vị chủ trl thẩm tra quyết toán sử dụng báo cáo kiểm toán của Kiểm toán nhà nước, kết luận của cơ quan thanh tra và báo cáo kiểm toán của kiểm toán độc lập làm căn cứ để thẩm tra quyết toán dự án.</w:t>
      </w:r>
    </w:p>
    <w:p>
      <w:pPr>
        <w:pStyle w:val="Style2"/>
        <w:keepNext w:val="0"/>
        <w:keepLines w:val="0"/>
        <w:widowControl w:val="0"/>
        <w:shd w:val="clear" w:color="auto" w:fill="auto"/>
        <w:bidi w:val="0"/>
        <w:spacing w:before="0"/>
        <w:ind w:left="1800" w:right="0" w:firstLine="520"/>
        <w:jc w:val="both"/>
      </w:pPr>
      <w:r>
        <w:rPr>
          <w:rStyle w:val="CharStyle3"/>
        </w:rPr>
        <w:t>- Đối với dự án không kiểm toán, thanh tra, đơn vị thẩm tra quyết toán thực hiện thẩm tra những nội dung sau:</w:t>
      </w:r>
    </w:p>
    <w:p>
      <w:pPr>
        <w:pStyle w:val="Style2"/>
        <w:keepNext w:val="0"/>
        <w:keepLines w:val="0"/>
        <w:widowControl w:val="0"/>
        <w:shd w:val="clear" w:color="auto" w:fill="auto"/>
        <w:bidi w:val="0"/>
        <w:spacing w:before="0"/>
        <w:ind w:left="2300" w:right="0" w:firstLine="0"/>
        <w:jc w:val="left"/>
      </w:pPr>
      <w:r>
        <w:rPr>
          <w:rStyle w:val="CharStyle3"/>
        </w:rPr>
        <w:t>+ Hồ sơ pháp lý.</w:t>
      </w:r>
    </w:p>
    <w:p>
      <w:pPr>
        <w:pStyle w:val="Style2"/>
        <w:keepNext w:val="0"/>
        <w:keepLines w:val="0"/>
        <w:widowControl w:val="0"/>
        <w:shd w:val="clear" w:color="auto" w:fill="auto"/>
        <w:bidi w:val="0"/>
        <w:spacing w:before="0"/>
        <w:ind w:left="2300" w:right="0" w:firstLine="0"/>
        <w:jc w:val="left"/>
      </w:pPr>
      <w:r>
        <w:rPr>
          <w:rStyle w:val="CharStyle3"/>
        </w:rPr>
        <w:t>+ Vốn đầu tư của dự án.</w:t>
      </w:r>
    </w:p>
    <w:p>
      <w:pPr>
        <w:pStyle w:val="Style2"/>
        <w:keepNext w:val="0"/>
        <w:keepLines w:val="0"/>
        <w:widowControl w:val="0"/>
        <w:shd w:val="clear" w:color="auto" w:fill="auto"/>
        <w:bidi w:val="0"/>
        <w:spacing w:before="0"/>
        <w:ind w:left="2300" w:right="0" w:firstLine="0"/>
        <w:jc w:val="left"/>
      </w:pPr>
      <w:r>
        <w:rPr>
          <w:rStyle w:val="CharStyle3"/>
        </w:rPr>
        <w:t>+ Chi phí đầu tư.</w:t>
      </w:r>
    </w:p>
    <w:p>
      <w:pPr>
        <w:pStyle w:val="Style2"/>
        <w:keepNext w:val="0"/>
        <w:keepLines w:val="0"/>
        <w:widowControl w:val="0"/>
        <w:shd w:val="clear" w:color="auto" w:fill="auto"/>
        <w:bidi w:val="0"/>
        <w:spacing w:before="0"/>
        <w:ind w:left="2300" w:right="0" w:firstLine="0"/>
        <w:jc w:val="left"/>
      </w:pPr>
      <w:r>
        <w:rPr>
          <w:rStyle w:val="CharStyle3"/>
        </w:rPr>
        <w:t>+ Chi phí đầu tư không tính vào giá trị tài sản.</w:t>
      </w:r>
    </w:p>
    <w:p>
      <w:pPr>
        <w:pStyle w:val="Style2"/>
        <w:keepNext w:val="0"/>
        <w:keepLines w:val="0"/>
        <w:widowControl w:val="0"/>
        <w:shd w:val="clear" w:color="auto" w:fill="auto"/>
        <w:bidi w:val="0"/>
        <w:spacing w:before="0"/>
        <w:ind w:left="1800" w:right="0" w:firstLine="520"/>
        <w:jc w:val="both"/>
      </w:pPr>
      <w:r>
        <w:rPr>
          <w:rStyle w:val="CharStyle3"/>
        </w:rPr>
        <w:t>+ Giá trị tài sản hình thành sau đầu tư (chi tiết theo danh mục, số lượng, quy mô, công suất, nguyên giá từng tài sản).</w:t>
      </w:r>
    </w:p>
    <w:p>
      <w:pPr>
        <w:pStyle w:val="Style2"/>
        <w:keepNext w:val="0"/>
        <w:keepLines w:val="0"/>
        <w:widowControl w:val="0"/>
        <w:shd w:val="clear" w:color="auto" w:fill="auto"/>
        <w:bidi w:val="0"/>
        <w:spacing w:before="0"/>
        <w:ind w:left="2300" w:right="0" w:firstLine="0"/>
        <w:jc w:val="left"/>
      </w:pPr>
      <w:r>
        <w:rPr>
          <w:rStyle w:val="CharStyle3"/>
        </w:rPr>
        <w:t>+ Tình hình công nợ, vật tư, thiết bị tồn đọng.</w:t>
      </w:r>
    </w:p>
    <w:p>
      <w:pPr>
        <w:pStyle w:val="Style2"/>
        <w:keepNext w:val="0"/>
        <w:keepLines w:val="0"/>
        <w:widowControl w:val="0"/>
        <w:shd w:val="clear" w:color="auto" w:fill="auto"/>
        <w:bidi w:val="0"/>
        <w:spacing w:before="0"/>
        <w:ind w:left="1800" w:right="0" w:firstLine="520"/>
        <w:jc w:val="both"/>
      </w:pPr>
      <w:r>
        <w:rPr>
          <w:rStyle w:val="CharStyle3"/>
        </w:rPr>
        <w:t>+ Việc chấp hành của chủ đầu tư và các đơn vị có liên quan đối với ý kiến kết luận, kết quả điều tra của cơ quan pháp luật và cơ quan khác (nếu có).</w:t>
      </w:r>
    </w:p>
    <w:p>
      <w:pPr>
        <w:pStyle w:val="Style2"/>
        <w:keepNext w:val="0"/>
        <w:keepLines w:val="0"/>
        <w:widowControl w:val="0"/>
        <w:shd w:val="clear" w:color="auto" w:fill="auto"/>
        <w:bidi w:val="0"/>
        <w:spacing w:before="0"/>
        <w:ind w:left="1800" w:right="0" w:firstLine="520"/>
        <w:jc w:val="both"/>
      </w:pPr>
      <w:r>
        <w:rPr>
          <w:rStyle w:val="CharStyle3"/>
        </w:rPr>
        <w:t>+ Nhận xét, đánh giá, kiến nghị: Nhận xét đánh giá việc chấp hành các quy định của Nhà nước về quản lý đầu tư và đấu thầu; công tác quản lý và sử dụng vốn đầu tư; Xác định giá trị đề nghị phê duyệt quyết toán vốn đầu tư dự án hoàn thành và xử lý các vân đê có liên quan.</w:t>
      </w:r>
    </w:p>
    <w:p>
      <w:pPr>
        <w:pStyle w:val="Style2"/>
        <w:keepNext w:val="0"/>
        <w:keepLines w:val="0"/>
        <w:widowControl w:val="0"/>
        <w:numPr>
          <w:ilvl w:val="0"/>
          <w:numId w:val="9"/>
        </w:numPr>
        <w:shd w:val="clear" w:color="auto" w:fill="auto"/>
        <w:tabs>
          <w:tab w:pos="2706" w:val="left"/>
        </w:tabs>
        <w:bidi w:val="0"/>
        <w:spacing w:before="0"/>
        <w:ind w:left="1800" w:right="0" w:firstLine="520"/>
        <w:jc w:val="both"/>
      </w:pPr>
      <w:r>
        <w:rPr>
          <w:rStyle w:val="CharStyle3"/>
        </w:rPr>
        <w:t>Chi phí kiểm toán độc lập: Theo quy định tại điểm a, b khoản 1 Điều 46 Nghị định số 99/2021/NĐ-CP ngày 11/11/2021 của Chúih phủ Quy định về quản lý, thanh toán, quyết toán dự án sử dụng vốn đầu tư công.</w:t>
      </w:r>
    </w:p>
    <w:p>
      <w:pPr>
        <w:pStyle w:val="Style2"/>
        <w:keepNext w:val="0"/>
        <w:keepLines w:val="0"/>
        <w:widowControl w:val="0"/>
        <w:numPr>
          <w:ilvl w:val="0"/>
          <w:numId w:val="9"/>
        </w:numPr>
        <w:shd w:val="clear" w:color="auto" w:fill="auto"/>
        <w:tabs>
          <w:tab w:pos="2702" w:val="left"/>
        </w:tabs>
        <w:bidi w:val="0"/>
        <w:spacing w:before="0" w:line="240" w:lineRule="auto"/>
        <w:ind w:left="1800" w:right="0" w:firstLine="520"/>
        <w:jc w:val="both"/>
      </w:pPr>
      <w:r>
        <w:rPr>
          <w:rStyle w:val="CharStyle3"/>
        </w:rPr>
        <w:t>Thòi gian lập hồ sơ, thẩm tra, phê duyệt quyết toán: Theo quy định tại Điều 47 Nghị định số 99/2021/NĐ-CP ngày 11/11/2021 của Chính phủ Quy định về quản lý, thanh toán, quyết toán dự án sử dụng vốn đàu tư công.”</w:t>
      </w:r>
    </w:p>
    <w:p>
      <w:pPr>
        <w:pStyle w:val="Style21"/>
        <w:keepNext/>
        <w:keepLines/>
        <w:widowControl w:val="0"/>
        <w:numPr>
          <w:ilvl w:val="0"/>
          <w:numId w:val="13"/>
        </w:numPr>
        <w:shd w:val="clear" w:color="auto" w:fill="auto"/>
        <w:tabs>
          <w:tab w:pos="2669" w:val="left"/>
        </w:tabs>
        <w:bidi w:val="0"/>
        <w:spacing w:before="0"/>
        <w:ind w:left="2300" w:right="0" w:firstLine="0"/>
        <w:jc w:val="left"/>
      </w:pPr>
      <w:bookmarkStart w:id="12" w:name="bookmark12"/>
      <w:r>
        <w:rPr>
          <w:rStyle w:val="CharStyle22"/>
          <w:b/>
          <w:bCs/>
        </w:rPr>
        <w:t>Sửa đổi, bổ sung điểm c khoản 1 Điều 26 như sau:</w:t>
      </w:r>
      <w:bookmarkEnd w:id="12"/>
    </w:p>
    <w:p>
      <w:pPr>
        <w:pStyle w:val="Style2"/>
        <w:keepNext w:val="0"/>
        <w:keepLines w:val="0"/>
        <w:widowControl w:val="0"/>
        <w:shd w:val="clear" w:color="auto" w:fill="auto"/>
        <w:bidi w:val="0"/>
        <w:spacing w:before="0"/>
        <w:ind w:left="2300" w:right="0" w:firstLine="0"/>
        <w:jc w:val="left"/>
      </w:pPr>
      <w:r>
        <w:rPr>
          <w:rStyle w:val="CharStyle3"/>
        </w:rPr>
        <w:t>“c) Kết thúc đầu tư:</w:t>
      </w:r>
    </w:p>
    <w:p>
      <w:pPr>
        <w:pStyle w:val="Style2"/>
        <w:keepNext w:val="0"/>
        <w:keepLines w:val="0"/>
        <w:widowControl w:val="0"/>
        <w:shd w:val="clear" w:color="auto" w:fill="auto"/>
        <w:bidi w:val="0"/>
        <w:spacing w:before="0" w:line="240" w:lineRule="auto"/>
        <w:ind w:left="1800" w:right="0" w:firstLine="520"/>
        <w:jc w:val="both"/>
      </w:pPr>
      <w:r>
        <w:rPr>
          <w:rStyle w:val="CharStyle3"/>
        </w:rPr>
        <w:t>Sau khi hoàn thành thủ tục nhận chuyển nhượng, đơn vị lập hồ sơ trình người có thẩm quyền phê duyệt quyết toán kèm theo Giấy chứng nhận quyền sừ dụng tài sản, hợp đông nhận chuyên nhượng, chứng từ liên quan đến các loại phí, lệ phí và hồ sơ liên quan khác. Đơn vị thực hiện quyết toán vốn đầu tư hoàn thành theo quy định tại khoản 1 Điếu 25 Quy chế này.”</w:t>
      </w:r>
    </w:p>
    <w:p>
      <w:pPr>
        <w:pStyle w:val="Style21"/>
        <w:keepNext/>
        <w:keepLines/>
        <w:widowControl w:val="0"/>
        <w:numPr>
          <w:ilvl w:val="0"/>
          <w:numId w:val="13"/>
        </w:numPr>
        <w:shd w:val="clear" w:color="auto" w:fill="auto"/>
        <w:tabs>
          <w:tab w:pos="2662" w:val="left"/>
        </w:tabs>
        <w:bidi w:val="0"/>
        <w:spacing w:before="0"/>
        <w:ind w:left="2300" w:right="0" w:firstLine="0"/>
        <w:jc w:val="both"/>
      </w:pPr>
      <w:bookmarkStart w:id="14" w:name="bookmark14"/>
      <w:r>
        <w:rPr>
          <w:rStyle w:val="CharStyle22"/>
          <w:b/>
          <w:bCs/>
        </w:rPr>
        <w:t>Sửa đỗi, bổ sung khoản 5 Điều 48 như sau:</w:t>
      </w:r>
      <w:bookmarkEnd w:id="14"/>
    </w:p>
    <w:p>
      <w:pPr>
        <w:pStyle w:val="Style2"/>
        <w:keepNext w:val="0"/>
        <w:keepLines w:val="0"/>
        <w:widowControl w:val="0"/>
        <w:shd w:val="clear" w:color="auto" w:fill="auto"/>
        <w:bidi w:val="0"/>
        <w:spacing w:before="0"/>
        <w:ind w:left="2300" w:right="0" w:firstLine="0"/>
        <w:jc w:val="both"/>
        <w:sectPr>
          <w:footnotePr>
            <w:pos w:val="pageBottom"/>
            <w:numFmt w:val="decimal"/>
            <w:numRestart w:val="continuous"/>
          </w:footnotePr>
          <w:pgSz w:w="11900" w:h="16840"/>
          <w:pgMar w:top="2575" w:right="1448" w:bottom="1099" w:left="145" w:header="0" w:footer="3" w:gutter="0"/>
          <w:cols w:space="720"/>
          <w:noEndnote/>
          <w:rtlGutter w:val="0"/>
          <w:docGrid w:linePitch="360"/>
        </w:sectPr>
      </w:pPr>
      <w:r>
        <w:rPr>
          <w:rStyle w:val="CharStyle3"/>
        </w:rPr>
        <w:t>“5. Phí bảo trì tài sản không vượt chi phí bảo trì mà nhà thầu trúng thầu</w:t>
      </w:r>
    </w:p>
    <w:p>
      <w:pPr>
        <w:pStyle w:val="Style2"/>
        <w:keepNext w:val="0"/>
        <w:keepLines w:val="0"/>
        <w:widowControl w:val="0"/>
        <w:shd w:val="clear" w:color="auto" w:fill="auto"/>
        <w:bidi w:val="0"/>
        <w:spacing w:before="0" w:after="100" w:line="292" w:lineRule="exact"/>
        <w:ind w:left="1380" w:right="0" w:firstLine="0"/>
        <w:jc w:val="left"/>
      </w:pPr>
      <w:r>
        <w:rPr>
          <w:rStyle w:val="CharStyle3"/>
        </w:rPr>
        <w:t>cung cấp tài sản đó đã chào hoặc cam kết trước đây tại hồ sơ dự thầu.”</w:t>
      </w:r>
    </w:p>
    <w:p>
      <w:pPr>
        <w:pStyle w:val="Style5"/>
        <w:keepNext/>
        <w:keepLines/>
        <w:widowControl w:val="0"/>
        <w:numPr>
          <w:ilvl w:val="0"/>
          <w:numId w:val="15"/>
        </w:numPr>
        <w:shd w:val="clear" w:color="auto" w:fill="auto"/>
        <w:tabs>
          <w:tab w:pos="2286" w:val="left"/>
        </w:tabs>
        <w:bidi w:val="0"/>
        <w:spacing w:before="0" w:after="40" w:line="292" w:lineRule="exact"/>
        <w:ind w:left="1880" w:right="0" w:firstLine="0"/>
        <w:jc w:val="left"/>
        <w:rPr>
          <w:sz w:val="24"/>
          <w:szCs w:val="24"/>
        </w:rPr>
      </w:pPr>
      <w:bookmarkStart w:id="16" w:name="bookmark16"/>
      <w:r>
        <w:rPr>
          <w:rStyle w:val="CharStyle6"/>
          <w:rFonts w:ascii="Times New Roman" w:eastAsia="Times New Roman" w:hAnsi="Times New Roman" w:cs="Times New Roman"/>
          <w:b/>
          <w:bCs/>
          <w:sz w:val="24"/>
          <w:szCs w:val="24"/>
        </w:rPr>
        <w:t>Sửa đổi, bổ sung khoản 7 Điều 52 như sau:</w:t>
      </w:r>
      <w:bookmarkEnd w:id="16"/>
    </w:p>
    <w:p>
      <w:pPr>
        <w:pStyle w:val="Style2"/>
        <w:keepNext w:val="0"/>
        <w:keepLines w:val="0"/>
        <w:widowControl w:val="0"/>
        <w:shd w:val="clear" w:color="auto" w:fill="auto"/>
        <w:bidi w:val="0"/>
        <w:spacing w:before="0" w:after="100" w:line="292" w:lineRule="exact"/>
        <w:ind w:left="1380" w:right="0" w:firstLine="520"/>
        <w:jc w:val="both"/>
      </w:pPr>
      <w:r>
        <w:rPr>
          <w:rStyle w:val="CharStyle3"/>
        </w:rPr>
        <w:t>“7. Quyết định thành lập Ban Quản lý dự án đối vói dự án CNTT có tổng mức đầu tư từ 800 tỷ đồng trở lên (nếu cần thiết). Tùy theo tính chất của mỗi dự án, Hội đồng thành viên giao Ban Quản lý dự án thực hiện một phần hoặc toàn bộ trách nhiệm quy định tại khoản 2 Điều 11 Quy chế này, phù họp với từng giai đoạn triển khai dự án.”</w:t>
      </w:r>
    </w:p>
    <w:p>
      <w:pPr>
        <w:pStyle w:val="Style5"/>
        <w:keepNext/>
        <w:keepLines/>
        <w:widowControl w:val="0"/>
        <w:numPr>
          <w:ilvl w:val="0"/>
          <w:numId w:val="15"/>
        </w:numPr>
        <w:shd w:val="clear" w:color="auto" w:fill="auto"/>
        <w:tabs>
          <w:tab w:pos="2361" w:val="left"/>
        </w:tabs>
        <w:bidi w:val="0"/>
        <w:spacing w:before="0" w:after="40" w:line="292" w:lineRule="exact"/>
        <w:ind w:left="1880" w:right="0" w:firstLine="0"/>
        <w:jc w:val="left"/>
        <w:rPr>
          <w:sz w:val="24"/>
          <w:szCs w:val="24"/>
        </w:rPr>
      </w:pPr>
      <w:bookmarkStart w:id="18" w:name="bookmark18"/>
      <w:r>
        <w:rPr>
          <w:rStyle w:val="CharStyle6"/>
          <w:rFonts w:ascii="Times New Roman" w:eastAsia="Times New Roman" w:hAnsi="Times New Roman" w:cs="Times New Roman"/>
          <w:b/>
          <w:bCs/>
          <w:sz w:val="24"/>
          <w:szCs w:val="24"/>
        </w:rPr>
        <w:t>Sửa đổi, bổ sung điểm a khoản 6 và khoản 18 Điều 54 như sau:</w:t>
      </w:r>
      <w:bookmarkEnd w:id="18"/>
    </w:p>
    <w:p>
      <w:pPr>
        <w:pStyle w:val="Style2"/>
        <w:keepNext w:val="0"/>
        <w:keepLines w:val="0"/>
        <w:widowControl w:val="0"/>
        <w:numPr>
          <w:ilvl w:val="0"/>
          <w:numId w:val="17"/>
        </w:numPr>
        <w:shd w:val="clear" w:color="auto" w:fill="auto"/>
        <w:tabs>
          <w:tab w:pos="2286" w:val="left"/>
        </w:tabs>
        <w:bidi w:val="0"/>
        <w:spacing w:before="0" w:after="40" w:line="292" w:lineRule="exact"/>
        <w:ind w:left="1880" w:right="0" w:firstLine="0"/>
        <w:jc w:val="left"/>
      </w:pPr>
      <w:r>
        <w:rPr>
          <w:rStyle w:val="CharStyle3"/>
        </w:rPr>
        <w:t>Sửa đổi, bổ sung điểm a khoản 6:</w:t>
      </w:r>
    </w:p>
    <w:p>
      <w:pPr>
        <w:pStyle w:val="Style2"/>
        <w:keepNext w:val="0"/>
        <w:keepLines w:val="0"/>
        <w:widowControl w:val="0"/>
        <w:shd w:val="clear" w:color="auto" w:fill="auto"/>
        <w:bidi w:val="0"/>
        <w:spacing w:before="0" w:after="100" w:line="291" w:lineRule="exact"/>
        <w:ind w:left="1380" w:right="0" w:firstLine="520"/>
        <w:jc w:val="both"/>
      </w:pPr>
      <w:r>
        <w:rPr>
          <w:rStyle w:val="CharStyle3"/>
        </w:rPr>
        <w:t>“a) Ban Quản lý dự án đối với dự án CNTT có tổng mức đầu tư từ 03 tỷ đồng đến dưới 800 tỷ đồng (nếu cần thiết). Tùy theo tính chất của mỗi dự án, Tông Giám đôc giao Ban Quản lý dự án thực hiện một phân hoặc toàn bộ trách nhiệm quy định tại khoản 2 Điều 11 Quy chế này, phù hợp với từng giai đoạn triển khai dự án.”</w:t>
      </w:r>
    </w:p>
    <w:p>
      <w:pPr>
        <w:pStyle w:val="Style2"/>
        <w:keepNext w:val="0"/>
        <w:keepLines w:val="0"/>
        <w:widowControl w:val="0"/>
        <w:numPr>
          <w:ilvl w:val="0"/>
          <w:numId w:val="17"/>
        </w:numPr>
        <w:shd w:val="clear" w:color="auto" w:fill="auto"/>
        <w:tabs>
          <w:tab w:pos="2286" w:val="left"/>
        </w:tabs>
        <w:bidi w:val="0"/>
        <w:spacing w:before="0" w:after="100" w:line="292" w:lineRule="exact"/>
        <w:ind w:left="1880" w:right="0" w:firstLine="0"/>
        <w:jc w:val="left"/>
      </w:pPr>
      <w:r>
        <w:rPr>
          <w:rStyle w:val="CharStyle3"/>
        </w:rPr>
        <w:t>Bổ sung khoản 18:</w:t>
      </w:r>
    </w:p>
    <w:p>
      <w:pPr>
        <w:pStyle w:val="Style2"/>
        <w:keepNext w:val="0"/>
        <w:keepLines w:val="0"/>
        <w:widowControl w:val="0"/>
        <w:shd w:val="clear" w:color="auto" w:fill="auto"/>
        <w:bidi w:val="0"/>
        <w:spacing w:before="0" w:after="140" w:line="284" w:lineRule="exact"/>
        <w:ind w:left="1380" w:right="600" w:firstLine="520"/>
        <w:jc w:val="both"/>
      </w:pPr>
      <w:r>
        <w:rPr>
          <w:rStyle w:val="CharStyle3"/>
        </w:rPr>
        <w:t>“18. Tổng Giám đốc quy định chi tiết về thuê/mua dịch vụ công nghệ thông tin.”</w:t>
      </w:r>
    </w:p>
    <w:p>
      <w:pPr>
        <w:pStyle w:val="Style5"/>
        <w:keepNext/>
        <w:keepLines/>
        <w:widowControl w:val="0"/>
        <w:numPr>
          <w:ilvl w:val="0"/>
          <w:numId w:val="15"/>
        </w:numPr>
        <w:shd w:val="clear" w:color="auto" w:fill="auto"/>
        <w:tabs>
          <w:tab w:pos="2361" w:val="left"/>
        </w:tabs>
        <w:bidi w:val="0"/>
        <w:spacing w:before="0" w:after="100" w:line="292" w:lineRule="exact"/>
        <w:ind w:left="1880" w:right="0" w:firstLine="0"/>
        <w:jc w:val="left"/>
        <w:rPr>
          <w:sz w:val="24"/>
          <w:szCs w:val="24"/>
        </w:rPr>
      </w:pPr>
      <w:bookmarkStart w:id="20" w:name="bookmark20"/>
      <w:r>
        <w:rPr>
          <w:rStyle w:val="CharStyle6"/>
          <w:rFonts w:ascii="Times New Roman" w:eastAsia="Times New Roman" w:hAnsi="Times New Roman" w:cs="Times New Roman"/>
          <w:b/>
          <w:bCs/>
          <w:sz w:val="24"/>
          <w:szCs w:val="24"/>
        </w:rPr>
        <w:t>Bãi bỏ khoản 3 Điều 61.</w:t>
      </w:r>
      <w:bookmarkEnd w:id="20"/>
    </w:p>
    <w:p>
      <w:pPr>
        <w:pStyle w:val="Style5"/>
        <w:keepNext/>
        <w:keepLines/>
        <w:widowControl w:val="0"/>
        <w:shd w:val="clear" w:color="auto" w:fill="auto"/>
        <w:tabs>
          <w:tab w:pos="9696" w:val="left"/>
        </w:tabs>
        <w:bidi w:val="0"/>
        <w:spacing w:before="0" w:after="40" w:line="292" w:lineRule="exact"/>
        <w:ind w:left="1880" w:right="0" w:firstLine="0"/>
        <w:jc w:val="left"/>
        <w:rPr>
          <w:sz w:val="24"/>
          <w:szCs w:val="24"/>
        </w:rPr>
      </w:pPr>
      <w:r>
        <w:rPr>
          <w:rStyle w:val="CharStyle6"/>
          <w:rFonts w:ascii="Times New Roman" w:eastAsia="Times New Roman" w:hAnsi="Times New Roman" w:cs="Times New Roman"/>
          <w:b/>
          <w:bCs/>
          <w:sz w:val="24"/>
          <w:szCs w:val="24"/>
        </w:rPr>
        <w:t>Điều 2. Hiệu lực thi hành</w:t>
        <w:tab/>
      </w:r>
    </w:p>
    <w:p>
      <w:pPr>
        <w:pStyle w:val="Style2"/>
        <w:keepNext w:val="0"/>
        <w:keepLines w:val="0"/>
        <w:widowControl w:val="0"/>
        <w:numPr>
          <w:ilvl w:val="0"/>
          <w:numId w:val="19"/>
        </w:numPr>
        <w:shd w:val="clear" w:color="auto" w:fill="auto"/>
        <w:tabs>
          <w:tab w:pos="2286" w:val="left"/>
        </w:tabs>
        <w:bidi w:val="0"/>
        <w:spacing w:before="0" w:after="100" w:line="293" w:lineRule="exact"/>
        <w:ind w:left="1380" w:right="0" w:firstLine="520"/>
        <w:jc w:val="left"/>
      </w:pPr>
      <w:r>
        <w:rPr>
          <w:rStyle w:val="CharStyle3"/>
        </w:rPr>
        <w:t xml:space="preserve">Quy chế này có hiệu lực thi </w:t>
      </w:r>
      <w:r>
        <w:rPr>
          <w:rStyle w:val="CharStyle3"/>
          <w:vertAlign w:val="superscript"/>
        </w:rPr>
        <w:t>u</w:t>
      </w:r>
      <w:r>
        <w:rPr>
          <w:rStyle w:val="CharStyle3"/>
        </w:rPr>
        <w:t xml:space="preserve">ànb kể từ ngày ký. Các nội dung khác tại  Quy chế </w:t>
      </w:r>
      <w:r>
        <w:rPr>
          <w:rStyle w:val="CharStyle3"/>
          <w:lang w:val="en-US" w:eastAsia="en-US" w:bidi="en-US"/>
        </w:rPr>
        <w:t xml:space="preserve">so 871/QC-HDTV-QLDT </w:t>
      </w:r>
      <w:r>
        <w:rPr>
          <w:rStyle w:val="CharStyle3"/>
        </w:rPr>
        <w:t>ngày 22/12/2021 của Hội đồng thành viên về ' Đầu tư, mua sắm, thuê, cho thuê và quản lý tài sản trong hệ thống Agribank giữ nguyên hiệu lực thi hành.</w:t>
      </w:r>
    </w:p>
    <w:p>
      <w:pPr>
        <w:pStyle w:val="Style2"/>
        <w:keepNext w:val="0"/>
        <w:keepLines w:val="0"/>
        <w:widowControl w:val="0"/>
        <w:numPr>
          <w:ilvl w:val="0"/>
          <w:numId w:val="19"/>
        </w:numPr>
        <w:shd w:val="clear" w:color="auto" w:fill="auto"/>
        <w:tabs>
          <w:tab w:pos="2286" w:val="left"/>
        </w:tabs>
        <w:bidi w:val="0"/>
        <w:spacing w:before="0" w:after="340" w:line="294" w:lineRule="exact"/>
        <w:ind w:left="1380" w:right="0" w:firstLine="520"/>
        <w:jc w:val="both"/>
      </w:pPr>
      <w:r>
        <mc:AlternateContent>
          <mc:Choice Requires="wps">
            <w:drawing>
              <wp:anchor distT="0" distB="0" distL="114300" distR="114300" simplePos="0" relativeHeight="125829392" behindDoc="0" locked="0" layoutInCell="1" allowOverlap="1">
                <wp:simplePos x="0" y="0"/>
                <wp:positionH relativeFrom="page">
                  <wp:posOffset>4213860</wp:posOffset>
                </wp:positionH>
                <wp:positionV relativeFrom="paragraph">
                  <wp:posOffset>1041400</wp:posOffset>
                </wp:positionV>
                <wp:extent cx="2290445" cy="248920"/>
                <wp:wrapSquare wrapText="left"/>
                <wp:docPr id="17" name="Shape 17"/>
                <a:graphic xmlns:a="http://schemas.openxmlformats.org/drawingml/2006/main">
                  <a:graphicData uri="http://schemas.microsoft.com/office/word/2010/wordprocessingShape">
                    <wps:wsp>
                      <wps:cNvSpPr txBox="1"/>
                      <wps:spPr>
                        <a:xfrm>
                          <a:ext cx="2290445" cy="24892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pPr>
                            <w:r>
                              <w:rPr>
                                <w:rStyle w:val="CharStyle29"/>
                                <w:b/>
                                <w:bCs/>
                              </w:rPr>
                              <w:t>TM. HỘI ĐÒNG THÀNH VIÊN</w:t>
                            </w:r>
                          </w:p>
                        </w:txbxContent>
                      </wps:txbx>
                      <wps:bodyPr wrap="none" lIns="0" tIns="0" rIns="0" bIns="0">
                        <a:noAutoFit/>
                      </wps:bodyPr>
                    </wps:wsp>
                  </a:graphicData>
                </a:graphic>
              </wp:anchor>
            </w:drawing>
          </mc:Choice>
          <mc:Fallback>
            <w:pict>
              <v:shape id="_x0000_s1043" type="#_x0000_t202" style="position:absolute;margin-left:331.80000000000001pt;margin-top:82.pt;width:180.34999999999999pt;height:19.600000000000001pt;z-index:-125829361;mso-wrap-distance-left:9.pt;mso-wrap-distance-right:9.pt;mso-position-horizontal-relative:page" filled="f" stroked="f">
                <v:textbox inset="0,0,0,0">
                  <w:txbxContent>
                    <w:p>
                      <w:pPr>
                        <w:pStyle w:val="Style28"/>
                        <w:keepNext w:val="0"/>
                        <w:keepLines w:val="0"/>
                        <w:widowControl w:val="0"/>
                        <w:shd w:val="clear" w:color="auto" w:fill="auto"/>
                        <w:bidi w:val="0"/>
                        <w:spacing w:before="0" w:after="0" w:line="240" w:lineRule="auto"/>
                        <w:ind w:left="0" w:right="0" w:firstLine="0"/>
                        <w:jc w:val="left"/>
                      </w:pPr>
                      <w:r>
                        <w:rPr>
                          <w:rStyle w:val="CharStyle29"/>
                          <w:b/>
                          <w:bCs/>
                        </w:rPr>
                        <w:t>TM. HỘI ĐÒNG THÀNH VIÊN</w:t>
                      </w:r>
                    </w:p>
                  </w:txbxContent>
                </v:textbox>
                <w10:wrap type="square" side="left" anchorx="page"/>
              </v:shape>
            </w:pict>
          </mc:Fallback>
        </mc:AlternateContent>
      </w:r>
      <w:r>
        <w:rPr>
          <w:rStyle w:val="CharStyle3"/>
        </w:rPr>
        <w:t xml:space="preserve">Hội đồng thành viên, Chủ nhiệm các ủy ban, Tồng Giám đôc, Ke toán trưởng, Trưởng Văn phòng đại diện, Chánh Văn phòng Trụ sở chính, Trường các Ban, Giám đốc các Trung tâm tại Trụ sở chính, Giám đốc các Đơn vị sự nghiệp, Giám đốc các Chi nhánh loại I và các cá nhân có liên quan thuộc Agribank có trách nhiệm thi hành Quy chế này./. </w:t>
      </w:r>
    </w:p>
    <w:p>
      <w:pPr>
        <w:pStyle w:val="Style2"/>
        <w:keepNext w:val="0"/>
        <w:keepLines w:val="0"/>
        <w:widowControl w:val="0"/>
        <w:shd w:val="clear" w:color="auto" w:fill="auto"/>
        <w:bidi w:val="0"/>
        <w:spacing w:before="0" w:after="40" w:line="240" w:lineRule="auto"/>
        <w:ind w:left="1260" w:right="0" w:firstLine="0"/>
        <w:jc w:val="left"/>
        <w:rPr>
          <w:sz w:val="22"/>
          <w:szCs w:val="22"/>
        </w:rPr>
      </w:pPr>
      <w:r>
        <w:rPr>
          <w:rStyle w:val="CharStyle3"/>
          <w:i/>
          <w:iCs/>
          <w:sz w:val="22"/>
          <w:szCs w:val="22"/>
        </w:rPr>
        <w:t>Nơi nhận:</w:t>
      </w:r>
    </w:p>
    <w:p>
      <w:pPr>
        <w:pStyle w:val="Style9"/>
        <w:keepNext w:val="0"/>
        <w:keepLines w:val="0"/>
        <w:widowControl w:val="0"/>
        <w:numPr>
          <w:ilvl w:val="0"/>
          <w:numId w:val="21"/>
        </w:numPr>
        <w:shd w:val="clear" w:color="auto" w:fill="auto"/>
        <w:tabs>
          <w:tab w:pos="1521" w:val="left"/>
        </w:tabs>
        <w:bidi w:val="0"/>
        <w:spacing w:before="0" w:after="0" w:line="240" w:lineRule="auto"/>
        <w:ind w:left="1260" w:right="0" w:firstLine="0"/>
        <w:jc w:val="left"/>
      </w:pPr>
      <w:r>
        <w:rPr>
          <w:rStyle w:val="CharStyle10"/>
        </w:rPr>
        <w:t>Như khoản 2 Điều 2 (để th/h);</w:t>
      </w:r>
    </w:p>
    <w:p>
      <w:pPr>
        <w:pStyle w:val="Style9"/>
        <w:keepNext w:val="0"/>
        <w:keepLines w:val="0"/>
        <w:widowControl w:val="0"/>
        <w:numPr>
          <w:ilvl w:val="0"/>
          <w:numId w:val="21"/>
        </w:numPr>
        <w:shd w:val="clear" w:color="auto" w:fill="auto"/>
        <w:tabs>
          <w:tab w:pos="1521" w:val="left"/>
        </w:tabs>
        <w:bidi w:val="0"/>
        <w:spacing w:before="0" w:after="0" w:line="240" w:lineRule="auto"/>
        <w:ind w:left="1260" w:right="0" w:firstLine="0"/>
        <w:jc w:val="left"/>
      </w:pPr>
      <w:r>
        <w:rPr>
          <w:rStyle w:val="CharStyle10"/>
        </w:rPr>
        <w:t>Thống đốc- NHNN (dể b/c);</w:t>
      </w:r>
    </w:p>
    <w:p>
      <w:pPr>
        <w:pStyle w:val="Style9"/>
        <w:keepNext w:val="0"/>
        <w:keepLines w:val="0"/>
        <w:widowControl w:val="0"/>
        <w:numPr>
          <w:ilvl w:val="0"/>
          <w:numId w:val="21"/>
        </w:numPr>
        <w:shd w:val="clear" w:color="auto" w:fill="auto"/>
        <w:tabs>
          <w:tab w:pos="1521" w:val="left"/>
        </w:tabs>
        <w:bidi w:val="0"/>
        <w:spacing w:before="0" w:after="0" w:line="240" w:lineRule="auto"/>
        <w:ind w:left="1260" w:right="0" w:firstLine="0"/>
        <w:jc w:val="left"/>
      </w:pPr>
      <w:r>
        <w:rPr>
          <w:rStyle w:val="CharStyle10"/>
          <w:lang w:val="en-US" w:eastAsia="en-US" w:bidi="en-US"/>
        </w:rPr>
        <w:t xml:space="preserve">CQTTGS </w:t>
      </w:r>
      <w:r>
        <w:rPr>
          <w:rStyle w:val="CharStyle10"/>
        </w:rPr>
        <w:t>NHNN (dể b/c);</w:t>
      </w:r>
    </w:p>
    <w:p>
      <w:pPr>
        <w:pStyle w:val="Style9"/>
        <w:keepNext w:val="0"/>
        <w:keepLines w:val="0"/>
        <w:widowControl w:val="0"/>
        <w:numPr>
          <w:ilvl w:val="0"/>
          <w:numId w:val="21"/>
        </w:numPr>
        <w:shd w:val="clear" w:color="auto" w:fill="auto"/>
        <w:tabs>
          <w:tab w:pos="1521" w:val="left"/>
        </w:tabs>
        <w:bidi w:val="0"/>
        <w:spacing w:before="0" w:after="40" w:line="240" w:lineRule="auto"/>
        <w:ind w:left="1260" w:right="0" w:firstLine="0"/>
        <w:jc w:val="left"/>
      </w:pPr>
      <w:r>
        <w:rPr>
          <w:rStyle w:val="CharStyle10"/>
        </w:rPr>
        <w:t>Hội đồng thành viên;</w:t>
      </w:r>
    </w:p>
    <w:p>
      <w:pPr>
        <w:pStyle w:val="Style9"/>
        <w:keepNext w:val="0"/>
        <w:keepLines w:val="0"/>
        <w:widowControl w:val="0"/>
        <w:numPr>
          <w:ilvl w:val="0"/>
          <w:numId w:val="21"/>
        </w:numPr>
        <w:shd w:val="clear" w:color="auto" w:fill="auto"/>
        <w:tabs>
          <w:tab w:pos="1521" w:val="left"/>
        </w:tabs>
        <w:bidi w:val="0"/>
        <w:spacing w:before="0" w:after="40" w:line="240" w:lineRule="auto"/>
        <w:ind w:left="1260" w:right="0" w:firstLine="0"/>
        <w:jc w:val="left"/>
      </w:pPr>
      <w:r>
        <w:rPr>
          <w:rStyle w:val="CharStyle10"/>
        </w:rPr>
        <w:t>Ban Điều hành (để th/h);</w:t>
      </w:r>
    </w:p>
    <w:p>
      <w:pPr>
        <w:pStyle w:val="Style9"/>
        <w:keepNext w:val="0"/>
        <w:keepLines w:val="0"/>
        <w:widowControl w:val="0"/>
        <w:numPr>
          <w:ilvl w:val="0"/>
          <w:numId w:val="21"/>
        </w:numPr>
        <w:shd w:val="clear" w:color="auto" w:fill="auto"/>
        <w:tabs>
          <w:tab w:pos="1521" w:val="left"/>
        </w:tabs>
        <w:bidi w:val="0"/>
        <w:spacing w:before="0" w:after="40" w:line="240" w:lineRule="auto"/>
        <w:ind w:left="1260" w:right="0" w:firstLine="0"/>
        <w:jc w:val="left"/>
      </w:pPr>
      <w:r>
        <w:rPr>
          <w:rStyle w:val="CharStyle10"/>
        </w:rPr>
        <w:t>Ban Kiêm soát;</w:t>
      </w:r>
    </w:p>
    <w:p>
      <w:pPr>
        <w:pStyle w:val="Style9"/>
        <w:keepNext w:val="0"/>
        <w:keepLines w:val="0"/>
        <w:widowControl w:val="0"/>
        <w:shd w:val="clear" w:color="auto" w:fill="auto"/>
        <w:bidi w:val="0"/>
        <w:spacing w:before="0" w:after="40" w:line="240" w:lineRule="auto"/>
        <w:ind w:left="1260" w:right="0" w:firstLine="0"/>
        <w:jc w:val="left"/>
      </w:pPr>
      <w:r>
        <w:rPr>
          <w:rStyle w:val="CharStyle10"/>
        </w:rPr>
        <w:t>-ƯBĐTƯBCS;</w:t>
      </w:r>
    </w:p>
    <w:p>
      <w:pPr>
        <w:pStyle w:val="Style9"/>
        <w:keepNext w:val="0"/>
        <w:keepLines w:val="0"/>
        <w:widowControl w:val="0"/>
        <w:numPr>
          <w:ilvl w:val="0"/>
          <w:numId w:val="21"/>
        </w:numPr>
        <w:shd w:val="clear" w:color="auto" w:fill="auto"/>
        <w:tabs>
          <w:tab w:pos="1525" w:val="left"/>
        </w:tabs>
        <w:bidi w:val="0"/>
        <w:spacing w:before="0" w:after="40" w:line="240" w:lineRule="auto"/>
        <w:ind w:left="1260" w:right="0" w:firstLine="0"/>
        <w:jc w:val="left"/>
      </w:pPr>
      <w:r>
        <w:rPr>
          <w:rStyle w:val="CharStyle10"/>
        </w:rPr>
        <w:t xml:space="preserve">Lưu: </w:t>
      </w:r>
      <w:r>
        <w:rPr>
          <w:rStyle w:val="CharStyle10"/>
          <w:lang w:val="en-US" w:eastAsia="en-US" w:bidi="en-US"/>
        </w:rPr>
        <w:t xml:space="preserve">VP, PC, BTK, </w:t>
      </w:r>
    </w:p>
    <w:sectPr>
      <w:footnotePr>
        <w:pos w:val="pageBottom"/>
        <w:numFmt w:val="decimal"/>
        <w:numRestart w:val="continuous"/>
      </w:footnotePr>
      <w:pgSz w:w="11900" w:h="16840"/>
      <w:pgMar w:top="1434" w:right="854" w:bottom="1434" w:left="739"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3968115</wp:posOffset>
              </wp:positionH>
              <wp:positionV relativeFrom="page">
                <wp:posOffset>628650</wp:posOffset>
              </wp:positionV>
              <wp:extent cx="64135" cy="98425"/>
              <wp:wrapNone/>
              <wp:docPr id="9" name="Shape 9"/>
              <a:graphic xmlns:a="http://schemas.openxmlformats.org/drawingml/2006/main">
                <a:graphicData uri="http://schemas.microsoft.com/office/word/2010/wordprocessingShape">
                  <wps:wsp>
                    <wps:cNvSpPr txBox="1"/>
                    <wps:spPr>
                      <a:xfrm>
                        <a:ext cx="64135" cy="9842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Style w:val="CharStyle24"/>
                              </w:rPr>
                              <w:t>#</w:t>
                            </w:r>
                          </w:fldSimple>
                        </w:p>
                      </w:txbxContent>
                    </wps:txbx>
                    <wps:bodyPr wrap="none" lIns="0" tIns="0" rIns="0" bIns="0">
                      <a:spAutoFit/>
                    </wps:bodyPr>
                  </wps:wsp>
                </a:graphicData>
              </a:graphic>
            </wp:anchor>
          </w:drawing>
        </mc:Choice>
        <mc:Fallback>
          <w:pict>
            <v:shape id="_x0000_s1035" type="#_x0000_t202" style="position:absolute;margin-left:312.44999999999999pt;margin-top:49.5pt;width:5.0499999999999998pt;height:7.75pt;z-index:-18874406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Style w:val="CharStyle24"/>
                        </w:rPr>
                        <w:t>#</w:t>
                      </w:r>
                    </w:fldSimple>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bidi="vi-VN"/>
      </w:rPr>
    </w:lvl>
  </w:abstractNum>
  <w:abstractNum w:abstractNumId="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1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12">
    <w:multiLevelType w:val="multilevel"/>
    <w:lvl w:ilvl="0">
      <w:start w:val="7"/>
      <w:numFmt w:val="decimal"/>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bidi="vi-VN"/>
      </w:rPr>
    </w:lvl>
  </w:abstractNum>
  <w:abstractNum w:abstractNumId="14">
    <w:multiLevelType w:val="multilevel"/>
    <w:lvl w:ilvl="0">
      <w:start w:val="9"/>
      <w:numFmt w:val="decimal"/>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bidi="vi-VN"/>
      </w:rPr>
    </w:lvl>
  </w:abstractNum>
  <w:abstractNum w:abstractNumId="1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2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vi-VN" w:eastAsia="vi-VN" w:bidi="vi-VN"/>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vi-VN" w:eastAsia="vi-VN" w:bidi="vi-VN"/>
    </w:rPr>
  </w:style>
  <w:style w:type="character" w:customStyle="1" w:styleId="CharStyle3">
    <w:name w:val="Body text_"/>
    <w:basedOn w:val="DefaultParagraphFont"/>
    <w:link w:val="Style2"/>
    <w:rPr>
      <w:rFonts w:ascii="Times New Roman" w:eastAsia="Times New Roman" w:hAnsi="Times New Roman" w:cs="Times New Roman"/>
      <w:b w:val="0"/>
      <w:bCs w:val="0"/>
      <w:i w:val="0"/>
      <w:iCs w:val="0"/>
      <w:smallCaps w:val="0"/>
      <w:strike w:val="0"/>
      <w:u w:val="none"/>
    </w:rPr>
  </w:style>
  <w:style w:type="character" w:customStyle="1" w:styleId="CharStyle6">
    <w:name w:val="Heading #2_"/>
    <w:basedOn w:val="DefaultParagraphFont"/>
    <w:link w:val="Style5"/>
    <w:rPr>
      <w:rFonts w:ascii="Courier New" w:eastAsia="Courier New" w:hAnsi="Courier New" w:cs="Courier New"/>
      <w:b w:val="0"/>
      <w:bCs w:val="0"/>
      <w:i w:val="0"/>
      <w:iCs w:val="0"/>
      <w:smallCaps w:val="0"/>
      <w:strike w:val="0"/>
      <w:sz w:val="30"/>
      <w:szCs w:val="30"/>
      <w:u w:val="none"/>
    </w:rPr>
  </w:style>
  <w:style w:type="character" w:customStyle="1" w:styleId="CharStyle8">
    <w:name w:val="Body text (4)_"/>
    <w:basedOn w:val="DefaultParagraphFont"/>
    <w:link w:val="Style7"/>
    <w:rPr>
      <w:rFonts w:ascii="Courier New" w:eastAsia="Courier New" w:hAnsi="Courier New" w:cs="Courier New"/>
      <w:b w:val="0"/>
      <w:bCs w:val="0"/>
      <w:i w:val="0"/>
      <w:iCs w:val="0"/>
      <w:smallCaps w:val="0"/>
      <w:strike w:val="0"/>
      <w:color w:val="232246"/>
      <w:sz w:val="40"/>
      <w:szCs w:val="40"/>
      <w:u w:val="none"/>
      <w:lang w:val="1024"/>
    </w:rPr>
  </w:style>
  <w:style w:type="character" w:customStyle="1" w:styleId="CharStyle10">
    <w:name w:val="Body text (2)_"/>
    <w:basedOn w:val="DefaultParagraphFont"/>
    <w:link w:val="Style9"/>
    <w:rPr>
      <w:rFonts w:ascii="Times New Roman" w:eastAsia="Times New Roman" w:hAnsi="Times New Roman" w:cs="Times New Roman"/>
      <w:b w:val="0"/>
      <w:bCs w:val="0"/>
      <w:i w:val="0"/>
      <w:iCs w:val="0"/>
      <w:smallCaps w:val="0"/>
      <w:strike w:val="0"/>
      <w:sz w:val="20"/>
      <w:szCs w:val="20"/>
      <w:u w:val="none"/>
    </w:rPr>
  </w:style>
  <w:style w:type="character" w:customStyle="1" w:styleId="CharStyle13">
    <w:name w:val="Body text (5)_"/>
    <w:basedOn w:val="DefaultParagraphFont"/>
    <w:link w:val="Style12"/>
    <w:rPr>
      <w:rFonts w:ascii="Arial" w:eastAsia="Arial" w:hAnsi="Arial" w:cs="Arial"/>
      <w:b w:val="0"/>
      <w:bCs w:val="0"/>
      <w:i w:val="0"/>
      <w:iCs w:val="0"/>
      <w:smallCaps w:val="0"/>
      <w:strike w:val="0"/>
      <w:sz w:val="20"/>
      <w:szCs w:val="20"/>
      <w:u w:val="none"/>
      <w:lang w:val="1024"/>
    </w:rPr>
  </w:style>
  <w:style w:type="character" w:customStyle="1" w:styleId="CharStyle15">
    <w:name w:val="Heading #1_"/>
    <w:basedOn w:val="DefaultParagraphFont"/>
    <w:link w:val="Style14"/>
    <w:rPr>
      <w:rFonts w:ascii="Times New Roman" w:eastAsia="Times New Roman" w:hAnsi="Times New Roman" w:cs="Times New Roman"/>
      <w:b w:val="0"/>
      <w:bCs w:val="0"/>
      <w:i/>
      <w:iCs/>
      <w:smallCaps w:val="0"/>
      <w:strike w:val="0"/>
      <w:color w:val="6F3654"/>
      <w:sz w:val="44"/>
      <w:szCs w:val="44"/>
      <w:u w:val="none"/>
    </w:rPr>
  </w:style>
  <w:style w:type="character" w:customStyle="1" w:styleId="CharStyle22">
    <w:name w:val="Heading #3_"/>
    <w:basedOn w:val="DefaultParagraphFont"/>
    <w:link w:val="Style21"/>
    <w:rPr>
      <w:rFonts w:ascii="Times New Roman" w:eastAsia="Times New Roman" w:hAnsi="Times New Roman" w:cs="Times New Roman"/>
      <w:b/>
      <w:bCs/>
      <w:i w:val="0"/>
      <w:iCs w:val="0"/>
      <w:smallCaps w:val="0"/>
      <w:strike w:val="0"/>
      <w:u w:val="none"/>
    </w:rPr>
  </w:style>
  <w:style w:type="character" w:customStyle="1" w:styleId="CharStyle24">
    <w:name w:val="Header or footer (2)_"/>
    <w:basedOn w:val="DefaultParagraphFont"/>
    <w:link w:val="Style23"/>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CharStyle27">
    <w:name w:val="Body text (3)_"/>
    <w:basedOn w:val="DefaultParagraphFont"/>
    <w:link w:val="Style26"/>
    <w:rPr>
      <w:rFonts w:ascii="Segoe UI" w:eastAsia="Segoe UI" w:hAnsi="Segoe UI" w:cs="Segoe UI"/>
      <w:b/>
      <w:bCs/>
      <w:i w:val="0"/>
      <w:iCs w:val="0"/>
      <w:smallCaps w:val="0"/>
      <w:strike w:val="0"/>
      <w:sz w:val="14"/>
      <w:szCs w:val="14"/>
      <w:u w:val="none"/>
      <w:lang w:val="1024"/>
    </w:rPr>
  </w:style>
  <w:style w:type="character" w:customStyle="1" w:styleId="CharStyle29">
    <w:name w:val="Picture caption_"/>
    <w:basedOn w:val="DefaultParagraphFont"/>
    <w:link w:val="Style28"/>
    <w:rPr>
      <w:rFonts w:ascii="Times New Roman" w:eastAsia="Times New Roman" w:hAnsi="Times New Roman" w:cs="Times New Roman"/>
      <w:b/>
      <w:bCs/>
      <w:i w:val="0"/>
      <w:iCs w:val="0"/>
      <w:smallCaps w:val="0"/>
      <w:strike w:val="0"/>
      <w:u w:val="none"/>
    </w:rPr>
  </w:style>
  <w:style w:type="paragraph" w:styleId="Style2">
    <w:name w:val="Body text"/>
    <w:basedOn w:val="Normal"/>
    <w:link w:val="CharStyle3"/>
    <w:qFormat/>
    <w:pPr>
      <w:widowControl w:val="0"/>
      <w:shd w:val="clear" w:color="auto" w:fill="auto"/>
      <w:spacing w:after="60" w:line="254" w:lineRule="auto"/>
      <w:ind w:firstLine="400"/>
    </w:pPr>
    <w:rPr>
      <w:rFonts w:ascii="Times New Roman" w:eastAsia="Times New Roman" w:hAnsi="Times New Roman" w:cs="Times New Roman"/>
      <w:b w:val="0"/>
      <w:bCs w:val="0"/>
      <w:i w:val="0"/>
      <w:iCs w:val="0"/>
      <w:smallCaps w:val="0"/>
      <w:strike w:val="0"/>
      <w:u w:val="none"/>
    </w:rPr>
  </w:style>
  <w:style w:type="paragraph" w:customStyle="1" w:styleId="Style5">
    <w:name w:val="Heading #2"/>
    <w:basedOn w:val="Normal"/>
    <w:link w:val="CharStyle6"/>
    <w:pPr>
      <w:widowControl w:val="0"/>
      <w:shd w:val="clear" w:color="auto" w:fill="auto"/>
      <w:spacing w:line="218" w:lineRule="auto"/>
      <w:ind w:left="1480"/>
      <w:outlineLvl w:val="1"/>
    </w:pPr>
    <w:rPr>
      <w:rFonts w:ascii="Courier New" w:eastAsia="Courier New" w:hAnsi="Courier New" w:cs="Courier New"/>
      <w:b w:val="0"/>
      <w:bCs w:val="0"/>
      <w:i w:val="0"/>
      <w:iCs w:val="0"/>
      <w:smallCaps w:val="0"/>
      <w:strike w:val="0"/>
      <w:sz w:val="30"/>
      <w:szCs w:val="30"/>
      <w:u w:val="none"/>
    </w:rPr>
  </w:style>
  <w:style w:type="paragraph" w:customStyle="1" w:styleId="Style7">
    <w:name w:val="Body text (4)"/>
    <w:basedOn w:val="Normal"/>
    <w:link w:val="CharStyle8"/>
    <w:pPr>
      <w:widowControl w:val="0"/>
      <w:shd w:val="clear" w:color="auto" w:fill="auto"/>
    </w:pPr>
    <w:rPr>
      <w:rFonts w:ascii="Courier New" w:eastAsia="Courier New" w:hAnsi="Courier New" w:cs="Courier New"/>
      <w:b w:val="0"/>
      <w:bCs w:val="0"/>
      <w:i w:val="0"/>
      <w:iCs w:val="0"/>
      <w:smallCaps w:val="0"/>
      <w:strike w:val="0"/>
      <w:color w:val="232246"/>
      <w:sz w:val="40"/>
      <w:szCs w:val="40"/>
      <w:u w:val="none"/>
      <w:lang w:val="1024"/>
    </w:rPr>
  </w:style>
  <w:style w:type="paragraph" w:customStyle="1" w:styleId="Style9">
    <w:name w:val="Body text (2)"/>
    <w:basedOn w:val="Normal"/>
    <w:link w:val="CharStyle10"/>
    <w:pPr>
      <w:widowControl w:val="0"/>
      <w:shd w:val="clear" w:color="auto" w:fill="auto"/>
      <w:spacing w:after="20"/>
      <w:ind w:left="1180"/>
    </w:pPr>
    <w:rPr>
      <w:rFonts w:ascii="Times New Roman" w:eastAsia="Times New Roman" w:hAnsi="Times New Roman" w:cs="Times New Roman"/>
      <w:b w:val="0"/>
      <w:bCs w:val="0"/>
      <w:i w:val="0"/>
      <w:iCs w:val="0"/>
      <w:smallCaps w:val="0"/>
      <w:strike w:val="0"/>
      <w:sz w:val="20"/>
      <w:szCs w:val="20"/>
      <w:u w:val="none"/>
    </w:rPr>
  </w:style>
  <w:style w:type="paragraph" w:customStyle="1" w:styleId="Style12">
    <w:name w:val="Body text (5)"/>
    <w:basedOn w:val="Normal"/>
    <w:link w:val="CharStyle13"/>
    <w:pPr>
      <w:widowControl w:val="0"/>
      <w:shd w:val="clear" w:color="auto" w:fill="auto"/>
    </w:pPr>
    <w:rPr>
      <w:rFonts w:ascii="Arial" w:eastAsia="Arial" w:hAnsi="Arial" w:cs="Arial"/>
      <w:b w:val="0"/>
      <w:bCs w:val="0"/>
      <w:i w:val="0"/>
      <w:iCs w:val="0"/>
      <w:smallCaps w:val="0"/>
      <w:strike w:val="0"/>
      <w:sz w:val="20"/>
      <w:szCs w:val="20"/>
      <w:u w:val="none"/>
      <w:lang w:val="1024"/>
    </w:rPr>
  </w:style>
  <w:style w:type="paragraph" w:customStyle="1" w:styleId="Style14">
    <w:name w:val="Heading #1"/>
    <w:basedOn w:val="Normal"/>
    <w:link w:val="CharStyle15"/>
    <w:pPr>
      <w:widowControl w:val="0"/>
      <w:shd w:val="clear" w:color="auto" w:fill="auto"/>
      <w:outlineLvl w:val="0"/>
    </w:pPr>
    <w:rPr>
      <w:rFonts w:ascii="Times New Roman" w:eastAsia="Times New Roman" w:hAnsi="Times New Roman" w:cs="Times New Roman"/>
      <w:b w:val="0"/>
      <w:bCs w:val="0"/>
      <w:i/>
      <w:iCs/>
      <w:smallCaps w:val="0"/>
      <w:strike w:val="0"/>
      <w:color w:val="6F3654"/>
      <w:sz w:val="44"/>
      <w:szCs w:val="44"/>
      <w:u w:val="none"/>
    </w:rPr>
  </w:style>
  <w:style w:type="paragraph" w:customStyle="1" w:styleId="Style21">
    <w:name w:val="Heading #3"/>
    <w:basedOn w:val="Normal"/>
    <w:link w:val="CharStyle22"/>
    <w:pPr>
      <w:widowControl w:val="0"/>
      <w:shd w:val="clear" w:color="auto" w:fill="auto"/>
      <w:spacing w:after="60" w:line="254" w:lineRule="auto"/>
      <w:ind w:left="2200"/>
      <w:outlineLvl w:val="2"/>
    </w:pPr>
    <w:rPr>
      <w:rFonts w:ascii="Times New Roman" w:eastAsia="Times New Roman" w:hAnsi="Times New Roman" w:cs="Times New Roman"/>
      <w:b/>
      <w:bCs/>
      <w:i w:val="0"/>
      <w:iCs w:val="0"/>
      <w:smallCaps w:val="0"/>
      <w:strike w:val="0"/>
      <w:u w:val="none"/>
    </w:rPr>
  </w:style>
  <w:style w:type="paragraph" w:customStyle="1" w:styleId="Style23">
    <w:name w:val="Header or footer (2)"/>
    <w:basedOn w:val="Normal"/>
    <w:link w:val="CharStyle24"/>
    <w:pPr>
      <w:widowControl w:val="0"/>
      <w:shd w:val="clear" w:color="auto" w:fill="auto"/>
    </w:pPr>
    <w:rPr>
      <w:rFonts w:ascii="Times New Roman" w:eastAsia="Times New Roman" w:hAnsi="Times New Roman" w:cs="Times New Roman"/>
      <w:b w:val="0"/>
      <w:bCs w:val="0"/>
      <w:i w:val="0"/>
      <w:iCs w:val="0"/>
      <w:smallCaps w:val="0"/>
      <w:strike w:val="0"/>
      <w:sz w:val="20"/>
      <w:szCs w:val="20"/>
      <w:u w:val="none"/>
      <w:lang w:val="en-US" w:eastAsia="en-US" w:bidi="en-US"/>
    </w:rPr>
  </w:style>
  <w:style w:type="paragraph" w:customStyle="1" w:styleId="Style26">
    <w:name w:val="Body text (3)"/>
    <w:basedOn w:val="Normal"/>
    <w:link w:val="CharStyle27"/>
    <w:pPr>
      <w:widowControl w:val="0"/>
      <w:shd w:val="clear" w:color="auto" w:fill="auto"/>
    </w:pPr>
    <w:rPr>
      <w:rFonts w:ascii="Segoe UI" w:eastAsia="Segoe UI" w:hAnsi="Segoe UI" w:cs="Segoe UI"/>
      <w:b/>
      <w:bCs/>
      <w:i w:val="0"/>
      <w:iCs w:val="0"/>
      <w:smallCaps w:val="0"/>
      <w:strike w:val="0"/>
      <w:sz w:val="14"/>
      <w:szCs w:val="14"/>
      <w:u w:val="none"/>
      <w:lang w:val="1024"/>
    </w:rPr>
  </w:style>
  <w:style w:type="paragraph" w:customStyle="1" w:styleId="Style28">
    <w:name w:val="Picture caption"/>
    <w:basedOn w:val="Normal"/>
    <w:link w:val="CharStyle29"/>
    <w:pPr>
      <w:widowControl w:val="0"/>
      <w:shd w:val="clear" w:color="auto" w:fill="auto"/>
    </w:pPr>
    <w:rPr>
      <w:rFonts w:ascii="Times New Roman" w:eastAsia="Times New Roman" w:hAnsi="Times New Roman" w:cs="Times New Roman"/>
      <w:b/>
      <w:bCs/>
      <w:i w:val="0"/>
      <w:iCs w:val="0"/>
      <w:smallCaps w:val="0"/>
      <w:strike w:val="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s>
</file>