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jl31zsz1sl8h" w:id="0"/>
      <w:bookmarkEnd w:id="0"/>
      <w:r w:rsidDel="00000000" w:rsidR="00000000" w:rsidRPr="00000000">
        <w:rPr>
          <w:rtl w:val="0"/>
        </w:rPr>
        <w:t xml:space="preserve">Executive Report: Startup Financial KPI &amp; Cohort Analysis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report evaluates platform transaction health, monetization efficiency, and customer acquisition payback for an early-stage e-commerce marketplace. Revenue is derived via a multi-seller commission model (16.0% platform take on GMV) with variable fulfillment and payment gateway costs modeled at 4.0%, leaving a net platform Gross Margin of 12.0% of GMV.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While gross merchandise volume scaled to R$ 15.37M (generating R$ 1.84M in Gross Margin), the platform operates at an acquisition deficit. High acquisition expenses (R$ 23.37 Blended CAC) and an immediate retention drop to 0.49% in Month 1 yield an LTV:CAC ratio of 0.85x and extend empirical CAC payback past 15 months. Growth via top-of-funnel paid acquisition is currently diluting capital efficiency.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Core Financial &amp; Unit Economics Baseline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reporting layer synthesizes platform performance across the following core metrics: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800"/>
        <w:gridCol w:w="1905"/>
        <w:gridCol w:w="3180"/>
        <w:tblGridChange w:id="0">
          <w:tblGrid>
            <w:gridCol w:w="1890"/>
            <w:gridCol w:w="1800"/>
            <w:gridCol w:w="1905"/>
            <w:gridCol w:w="31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Value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Benchmark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 Diagnostic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Delivered GMV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R$ 15.37M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 (Growth)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Healthy transaction liquidity across 96,000+ completed orders.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Gross Margin (12% GMV)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R$ 1.84M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 10% of GMV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Stable 12% take-rate margin to fund overhead and acquisition.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Overall Blended CAC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R$ 23.37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R$ 20.00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Average acquisition cost per unique buyer acquired.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Average Realized LTV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R$ 19.81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m:oMath>
              <m:r>
                <m:t>≥</m:t>
              </m:r>
              <m:r>
                <w:rPr/>
                <m:t xml:space="preserve">3.0</m:t>
              </m:r>
              <m:r>
                <w:rPr/>
                <m:t>×</m:t>
              </m:r>
            </m:oMath>
            <w:r w:rsidDel="00000000" w:rsidR="00000000" w:rsidRPr="00000000">
              <w:rPr>
                <w:rtl w:val="0"/>
              </w:rPr>
              <w:t xml:space="preserve"> CAC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Realized gross margin contribution per acquired customer.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LTV : CAC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0.85x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m:oMath>
              <m:r>
                <m:t>≥</m:t>
              </m:r>
            </m:oMath>
            <w:r w:rsidDel="00000000" w:rsidR="00000000" w:rsidRPr="00000000">
              <w:rPr>
                <w:rtl w:val="0"/>
              </w:rPr>
              <w:t xml:space="preserve"> 3.00x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Deficit zone (&lt; 1.0x). Acquisition costs exceed gross margin recovery.</w:t>
            </w:r>
          </w:p>
        </w:tc>
      </w:tr>
    </w:tbl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br w:type="textWrapping"/>
        <w:t xml:space="preserve">Spend vs. Margin Trajectory: In early 2017, monthly acquisition spend exceeded margin generation (e.g., Jan 2017 CAC reached R$ 53.00 on smaller cohort bases). As order scale expanded through 2018, CAC normalized into an efficient corridor of R$ 21.50 – R$ 22.50, while monthly Gross Margin stabilized near R$ 130K–140K.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Systemic Unit Deficit: Across every operating cohort, Monthly Cohort CAC consistently exceeds Average Realized LTV by R$ 2.00 to R$ 4.00 per buyer, proving that sub-1.0x unit economics are structural rather than an isolated seasonal anomaly.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Cohort Retention &amp; Payback Dynamics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Month 1 Cliff: Month 1 customer retention drops sharply from 100.0% to an average of 0.49% (ranging between 0.18% and 0.72%). Over 99% of customers do not place a second order in the month following their initial purchase.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Marketplace Profile: This decay confirms the catalog is dominated by low-frequency, one-off durable goods (home appliances, furniture, auto parts) where natural re-order cycles exceed 18 months.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Residual Baseline: From Month 3 onward, retention levels out into a stable plateau of 0.15% to 0.35%. This core group constitutes the platform's power shoppers who drive all long-tail margin accretion.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CAC Payback Extension: At initial order (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), the platform captures R$ 19.10 in margin against the R$ 23.37 acquisition cost, leaving an immediate shortfall of -R$ 4.27 per customer. Because repeat purchasing is under 1%, margin recovery decelerates to ~R$ 0.10/month post-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. Cumulative LTV reaches only R$ 19.75 at Month 8 and R$ 19.81 by Month 12, extending the full payback window to 15.8 months.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Strategic Recommendations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 Broad Paid Search &amp; Shift 25% to Lifecycle CRM: Reduce top-of-funnel unbranded ad spend by 25%. Reallocate those funds into automated email/SMS triggers deployed at Day 14 and Day 45 post-delivery offering complementary accessories and warranty add-ons to capture order 2 within 60 days.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Category-Tiered Take Rates: Replace the flat 16.0% commission with differentiated tiers. Raise take rates to 19.0% -- 20.0% on one-off, high-ticket durable items to clear CAC entirely on the initial transaction, while lowering take rates on high-frequency consumables to attract repeat-purchase sellers.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Merchant-Subsidized Delivery Thresholds: Partner with top-decile sellers to co-subsidize free shipping on repeat orders over R$ 100, removing a primary friction point for repeat conversion without inflating direct company OPEX.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 Milestones: Lower blended CAC from R$ 23.37 to R$ 19.50 and accelerate 90-day margin recovery to R$ 23.50, compressing the CAC payback period from 15.8 months to under 8 months.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