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 w:rsidRPr="00AC4E01">
        <w:rPr>
          <w:rFonts w:eastAsia="MS Mincho"/>
          <w:highlight w:val="yellow"/>
        </w:rPr>
        <w:t xml:space="preserve">Problem 1 – </w:t>
      </w:r>
      <w:r w:rsidR="00456FFE" w:rsidRPr="00AC4E01">
        <w:rPr>
          <w:rFonts w:eastAsia="MS Mincho"/>
          <w:highlight w:val="yellow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</w:t>
      </w:r>
      <w:r w:rsidR="001D02BA" w:rsidRPr="00AC4E01">
        <w:rPr>
          <w:highlight w:val="yellow"/>
        </w:rPr>
        <w:t>and</w:t>
      </w:r>
      <w:r w:rsidRPr="00AC4E01">
        <w:rPr>
          <w:highlight w:val="yellow"/>
        </w:rPr>
        <w:t xml:space="preserve"> </w:t>
      </w:r>
      <w:r w:rsidR="00320A7C" w:rsidRPr="00AC4E01">
        <w:rPr>
          <w:b/>
          <w:highlight w:val="yellow"/>
        </w:rPr>
        <w:t>furniture</w:t>
      </w:r>
      <w:r w:rsidR="0085412A" w:rsidRPr="00AC4E01">
        <w:rPr>
          <w:highlight w:val="yellow"/>
        </w:rPr>
        <w:t>:</w:t>
      </w:r>
      <w:r w:rsidR="001D02BA" w:rsidRPr="00AC4E01">
        <w:rPr>
          <w:b/>
          <w:highlight w:val="yellow"/>
        </w:rPr>
        <w:t xml:space="preserve"> tables </w:t>
      </w:r>
      <w:r w:rsidR="001D02BA" w:rsidRPr="00AC4E01">
        <w:rPr>
          <w:highlight w:val="yellow"/>
        </w:rPr>
        <w:t>and</w:t>
      </w:r>
      <w:r w:rsidR="0085412A" w:rsidRPr="00AC4E01">
        <w:rPr>
          <w:highlight w:val="yellow"/>
        </w:rPr>
        <w:t xml:space="preserve"> </w:t>
      </w:r>
      <w:r w:rsidR="0085412A" w:rsidRPr="00AC4E01">
        <w:rPr>
          <w:b/>
          <w:highlight w:val="yellow"/>
        </w:rPr>
        <w:t>chairs</w:t>
      </w:r>
      <w:r w:rsidR="0085412A">
        <w:t>.</w:t>
      </w:r>
      <w:r w:rsidR="00C46D40">
        <w:t xml:space="preserve"> </w:t>
      </w:r>
      <w:r w:rsidR="0028291A">
        <w:t xml:space="preserve">Each </w:t>
      </w:r>
      <w:r w:rsidR="0028291A" w:rsidRPr="00AC4E01">
        <w:rPr>
          <w:highlight w:val="yellow"/>
        </w:rPr>
        <w:t>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</w:t>
      </w:r>
      <w:r w:rsidR="00875B7E" w:rsidRPr="00AC4E01">
        <w:rPr>
          <w:highlight w:val="yellow"/>
        </w:rPr>
        <w:t>table</w:t>
      </w:r>
      <w:r w:rsidR="00875B7E">
        <w:t xml:space="preserve">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 w:rsidRPr="00AC4E01">
        <w:rPr>
          <w:highlight w:val="yellow"/>
        </w:rPr>
        <w:t>Chairs</w:t>
      </w:r>
      <w:r w:rsidR="006834F4">
        <w:t xml:space="preserve">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</w:t>
      </w:r>
      <w:r w:rsidR="008E4AA5" w:rsidRPr="00AC4E01">
        <w:rPr>
          <w:highlight w:val="yellow"/>
        </w:rPr>
        <w:t>adjustable</w:t>
      </w:r>
      <w:r w:rsidR="008E4AA5">
        <w:t xml:space="preserve">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</w:t>
      </w:r>
      <w:r w:rsidR="004F226C" w:rsidRPr="00AC4E01">
        <w:rPr>
          <w:highlight w:val="yellow"/>
        </w:rPr>
        <w:t>company</w:t>
      </w:r>
      <w:r w:rsidR="004F226C">
        <w:t xml:space="preserve">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ICompany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RegistrationNumber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ICollection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Furnitures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Catalog();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70DB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Model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Material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70DB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131C87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NumberOfLegs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IFurniture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Length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Width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Area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B0A5B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IAdjustableChair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70D64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SetHeight(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height);</w:t>
            </w:r>
          </w:p>
          <w:p w:rsidR="00131C87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IConvertibleChair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IChair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IsConverted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Convert();</w:t>
            </w:r>
          </w:p>
          <w:p w:rsidR="00DF5D45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>
        <w:lastRenderedPageBreak/>
        <w:t xml:space="preserve">All your </w:t>
      </w:r>
      <w:r w:rsidR="003525CC">
        <w:t>furniture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31B97">
        <w:rPr>
          <w:rStyle w:val="Code"/>
          <w:rFonts w:cs="Times New Roman"/>
        </w:rPr>
        <w:t>Furniture</w:t>
      </w:r>
      <w:r>
        <w:t xml:space="preserve">. </w:t>
      </w:r>
      <w:r w:rsidR="00D96BED">
        <w:t xml:space="preserve">Tables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Table</w:t>
      </w:r>
      <w:r w:rsidR="00D96BED">
        <w:t xml:space="preserve">, chairs should implement </w:t>
      </w:r>
      <w:r w:rsidR="00D96BED" w:rsidRPr="00F70B35">
        <w:rPr>
          <w:rStyle w:val="Code"/>
        </w:rPr>
        <w:t>I</w:t>
      </w:r>
      <w:r w:rsidR="00D96BED">
        <w:rPr>
          <w:rStyle w:val="Code"/>
        </w:rPr>
        <w:t>Chair</w:t>
      </w:r>
      <w:r w:rsidR="00667515">
        <w:t xml:space="preserve">, adjustable chairs should implement </w:t>
      </w:r>
      <w:r w:rsidR="00667515" w:rsidRPr="00F70B35">
        <w:rPr>
          <w:rStyle w:val="Code"/>
        </w:rPr>
        <w:t>I</w:t>
      </w:r>
      <w:r w:rsidR="00667515">
        <w:rPr>
          <w:rStyle w:val="Code"/>
        </w:rPr>
        <w:t>AdjustableChair</w:t>
      </w:r>
      <w:r w:rsidR="00C73693">
        <w:t xml:space="preserve"> and convertible chairs should implement </w:t>
      </w:r>
      <w:r w:rsidR="00C73693" w:rsidRPr="00F70B35">
        <w:rPr>
          <w:rStyle w:val="Code"/>
        </w:rPr>
        <w:t>I</w:t>
      </w:r>
      <w:r w:rsidR="00C73693">
        <w:rPr>
          <w:rStyle w:val="Code"/>
        </w:rPr>
        <w:t>ConvertibleChair</w:t>
      </w:r>
      <w:r w:rsidR="00C73693">
        <w:t>.</w:t>
      </w:r>
      <w:r w:rsidR="0002542A" w:rsidRPr="0002542A">
        <w:t xml:space="preserve"> </w:t>
      </w:r>
      <w:r w:rsidR="0002542A">
        <w:t xml:space="preserve">Companies should implement </w:t>
      </w:r>
      <w:r w:rsidR="0002542A" w:rsidRPr="00F70B35">
        <w:rPr>
          <w:rStyle w:val="Code"/>
        </w:rPr>
        <w:t>I</w:t>
      </w:r>
      <w:r w:rsidR="0002542A">
        <w:rPr>
          <w:rStyle w:val="Code"/>
        </w:rPr>
        <w:t>Company</w:t>
      </w:r>
      <w:r w:rsidR="0002542A">
        <w:t>.</w:t>
      </w:r>
    </w:p>
    <w:p w:rsidR="005E42CD" w:rsidRDefault="00587E1A" w:rsidP="00C41E75">
      <w:r w:rsidRPr="009C25F1">
        <w:rPr>
          <w:b/>
          <w:highlight w:val="yellow"/>
        </w:rPr>
        <w:t>Furniture</w:t>
      </w:r>
      <w:r w:rsidR="00002546" w:rsidRPr="009C25F1">
        <w:rPr>
          <w:highlight w:val="yellow"/>
        </w:rPr>
        <w:t xml:space="preserve"> validity</w:t>
      </w:r>
      <w:r w:rsidR="005E42CD" w:rsidRPr="009C25F1">
        <w:rPr>
          <w:highlight w:val="yellow"/>
        </w:rPr>
        <w:t xml:space="preserve"> </w:t>
      </w:r>
      <w:r w:rsidR="00002546" w:rsidRPr="009C25F1">
        <w:rPr>
          <w:highlight w:val="yellow"/>
        </w:rPr>
        <w:t>rules</w:t>
      </w:r>
      <w:r w:rsidR="005E42CD">
        <w:t>:</w:t>
      </w:r>
    </w:p>
    <w:p w:rsidR="005E42CD" w:rsidRDefault="00524D53" w:rsidP="00587E1A">
      <w:pPr>
        <w:pStyle w:val="ListParagraph"/>
        <w:numPr>
          <w:ilvl w:val="0"/>
          <w:numId w:val="25"/>
        </w:numPr>
        <w:spacing w:before="40" w:after="40"/>
      </w:pPr>
      <w:r>
        <w:t>Model cannot be empty, null or with less than 3 symbols.</w:t>
      </w:r>
    </w:p>
    <w:p w:rsidR="00697C78" w:rsidRDefault="00697C78" w:rsidP="00587E1A">
      <w:pPr>
        <w:pStyle w:val="ListParagraph"/>
        <w:numPr>
          <w:ilvl w:val="0"/>
          <w:numId w:val="25"/>
        </w:numPr>
        <w:spacing w:before="40" w:after="40"/>
      </w:pPr>
      <w:r>
        <w:t xml:space="preserve">Price cannot be less or equal </w:t>
      </w:r>
      <w:r w:rsidR="00487650">
        <w:t>to</w:t>
      </w:r>
      <w:r>
        <w:t xml:space="preserve"> </w:t>
      </w:r>
      <w:r w:rsidR="000167EE">
        <w:t>$</w:t>
      </w:r>
      <w:r w:rsidR="00A20BEB">
        <w:t>0.00</w:t>
      </w:r>
      <w:r>
        <w:t>.</w:t>
      </w:r>
    </w:p>
    <w:p w:rsidR="000167EE" w:rsidRDefault="000167EE" w:rsidP="00587E1A">
      <w:pPr>
        <w:pStyle w:val="ListParagraph"/>
        <w:numPr>
          <w:ilvl w:val="0"/>
          <w:numId w:val="25"/>
        </w:numPr>
        <w:spacing w:before="40" w:after="40"/>
      </w:pPr>
      <w:r>
        <w:t>Height cannot be less or equal to 0.00</w:t>
      </w:r>
      <w:r w:rsidR="00853CD4">
        <w:t xml:space="preserve"> </w:t>
      </w:r>
      <w:r w:rsidR="00763BAB">
        <w:t>m</w:t>
      </w:r>
      <w:r>
        <w:t>.</w:t>
      </w:r>
    </w:p>
    <w:p w:rsidR="000167EE" w:rsidRDefault="00002546" w:rsidP="00587E1A">
      <w:r w:rsidRPr="009C25F1">
        <w:rPr>
          <w:b/>
          <w:highlight w:val="yellow"/>
        </w:rPr>
        <w:t>Table</w:t>
      </w:r>
      <w:r w:rsidRPr="009C25F1">
        <w:rPr>
          <w:highlight w:val="yellow"/>
        </w:rPr>
        <w:t xml:space="preserve"> </w:t>
      </w:r>
      <w:r w:rsidR="00A06093" w:rsidRPr="009C25F1">
        <w:rPr>
          <w:highlight w:val="yellow"/>
        </w:rPr>
        <w:t xml:space="preserve">validity </w:t>
      </w:r>
      <w:r w:rsidRPr="009C25F1">
        <w:rPr>
          <w:highlight w:val="yellow"/>
        </w:rPr>
        <w:t>rules</w:t>
      </w:r>
      <w:r w:rsidR="00A06093" w:rsidRPr="009C25F1">
        <w:rPr>
          <w:highlight w:val="yellow"/>
        </w:rPr>
        <w:t>:</w:t>
      </w:r>
    </w:p>
    <w:p w:rsidR="00A06093" w:rsidRDefault="007A0F45" w:rsidP="007A0F45">
      <w:pPr>
        <w:pStyle w:val="ListParagraph"/>
        <w:numPr>
          <w:ilvl w:val="0"/>
          <w:numId w:val="26"/>
        </w:numPr>
      </w:pPr>
      <w:r>
        <w:t>Can calculate area by the following formula: length * width.</w:t>
      </w:r>
    </w:p>
    <w:p w:rsidR="003F4045" w:rsidRDefault="003F4045" w:rsidP="003F4045">
      <w:r w:rsidRPr="009C25F1">
        <w:rPr>
          <w:b/>
          <w:highlight w:val="yellow"/>
        </w:rPr>
        <w:t>Adjustable chair</w:t>
      </w:r>
      <w:r w:rsidRPr="009C25F1">
        <w:rPr>
          <w:highlight w:val="yellow"/>
        </w:rPr>
        <w:t xml:space="preserve"> validity rules:</w:t>
      </w:r>
    </w:p>
    <w:p w:rsidR="003F4045" w:rsidRDefault="003F4045" w:rsidP="003F4045">
      <w:pPr>
        <w:pStyle w:val="ListParagraph"/>
        <w:numPr>
          <w:ilvl w:val="0"/>
          <w:numId w:val="26"/>
        </w:numPr>
      </w:pPr>
      <w:r>
        <w:t xml:space="preserve">Can change the height to </w:t>
      </w:r>
      <w:r w:rsidR="00034AE8">
        <w:t xml:space="preserve">a </w:t>
      </w:r>
      <w:r>
        <w:t xml:space="preserve">new valid one. </w:t>
      </w:r>
    </w:p>
    <w:p w:rsidR="0029543B" w:rsidRDefault="0029543B" w:rsidP="0029543B">
      <w:r w:rsidRPr="009C25F1">
        <w:rPr>
          <w:b/>
          <w:highlight w:val="yellow"/>
        </w:rPr>
        <w:t>Convertible chair</w:t>
      </w:r>
      <w:r w:rsidRPr="009C25F1">
        <w:rPr>
          <w:highlight w:val="yellow"/>
        </w:rPr>
        <w:t xml:space="preserve"> validity rules:</w:t>
      </w:r>
    </w:p>
    <w:p w:rsidR="0029543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Has too states – converted and normal.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States can be changed by converting the chair</w:t>
      </w:r>
      <w:r w:rsidR="00C8720B">
        <w:t xml:space="preserve"> from one to another</w:t>
      </w:r>
      <w:r>
        <w:t>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>Converted state sets the height to 0.10m.</w:t>
      </w:r>
    </w:p>
    <w:p w:rsidR="00FB6AFB" w:rsidRDefault="00FB6AFB" w:rsidP="00C94E9B">
      <w:pPr>
        <w:pStyle w:val="ListParagraph"/>
        <w:numPr>
          <w:ilvl w:val="0"/>
          <w:numId w:val="26"/>
        </w:numPr>
        <w:spacing w:before="40" w:after="40"/>
      </w:pPr>
      <w:r>
        <w:t xml:space="preserve">Normal state </w:t>
      </w:r>
      <w:r w:rsidR="00325E05">
        <w:t>returns the height to the initial one.</w:t>
      </w:r>
    </w:p>
    <w:p w:rsidR="00082210" w:rsidRDefault="00082210" w:rsidP="00C94E9B">
      <w:pPr>
        <w:pStyle w:val="ListParagraph"/>
        <w:numPr>
          <w:ilvl w:val="0"/>
          <w:numId w:val="26"/>
        </w:numPr>
        <w:spacing w:before="40" w:after="40"/>
      </w:pPr>
      <w:r>
        <w:t>Initial state is normal.</w:t>
      </w:r>
    </w:p>
    <w:p w:rsidR="00211A0D" w:rsidRDefault="00211A0D" w:rsidP="00211A0D">
      <w:r w:rsidRPr="009C25F1">
        <w:rPr>
          <w:b/>
          <w:highlight w:val="yellow"/>
        </w:rPr>
        <w:t xml:space="preserve">Company </w:t>
      </w:r>
      <w:r w:rsidRPr="009C25F1">
        <w:rPr>
          <w:highlight w:val="yellow"/>
        </w:rPr>
        <w:t>validity rules:</w:t>
      </w:r>
    </w:p>
    <w:p w:rsidR="00211A0D" w:rsidRDefault="00D66F8E" w:rsidP="005D5E22">
      <w:pPr>
        <w:pStyle w:val="ListParagraph"/>
        <w:numPr>
          <w:ilvl w:val="0"/>
          <w:numId w:val="27"/>
        </w:numPr>
        <w:spacing w:before="40" w:after="40"/>
      </w:pPr>
      <w:r>
        <w:t>Name cannot be empty, null or with less than 5 symbols.</w:t>
      </w:r>
    </w:p>
    <w:p w:rsidR="00D74484" w:rsidRDefault="00C406F1" w:rsidP="005D5E22">
      <w:pPr>
        <w:pStyle w:val="ListParagraph"/>
        <w:numPr>
          <w:ilvl w:val="0"/>
          <w:numId w:val="27"/>
        </w:numPr>
        <w:spacing w:before="40" w:after="40"/>
      </w:pPr>
      <w:r>
        <w:t>Registration number must be exactly 10 symbols and must contain only digits.</w:t>
      </w:r>
      <w:r w:rsidR="00C94E9B">
        <w:t xml:space="preserve"> </w:t>
      </w:r>
    </w:p>
    <w:p w:rsidR="00C94E9B" w:rsidRDefault="00D74484" w:rsidP="005D5E22">
      <w:pPr>
        <w:pStyle w:val="ListParagraph"/>
        <w:numPr>
          <w:ilvl w:val="0"/>
          <w:numId w:val="27"/>
        </w:numPr>
        <w:spacing w:before="40" w:after="40"/>
      </w:pPr>
      <w:r>
        <w:t>Adding duplicate furniture is</w:t>
      </w:r>
      <w:r w:rsidR="00C94E9B">
        <w:t xml:space="preserve"> allowed.</w:t>
      </w:r>
    </w:p>
    <w:p w:rsidR="00E61497" w:rsidRDefault="00E61497" w:rsidP="005D5E22">
      <w:pPr>
        <w:pStyle w:val="ListParagraph"/>
        <w:numPr>
          <w:ilvl w:val="0"/>
          <w:numId w:val="27"/>
        </w:numPr>
        <w:spacing w:before="40" w:after="40"/>
      </w:pPr>
      <w:r>
        <w:t>Removing furniture removes the first occurance. If such is not found, nothing happens.</w:t>
      </w:r>
    </w:p>
    <w:p w:rsidR="000662E9" w:rsidRDefault="000662E9" w:rsidP="005D5E22">
      <w:pPr>
        <w:pStyle w:val="ListParagraph"/>
        <w:numPr>
          <w:ilvl w:val="0"/>
          <w:numId w:val="27"/>
        </w:numPr>
        <w:spacing w:before="40" w:after="40"/>
      </w:pPr>
      <w:r>
        <w:t>Finding furniture by model gets the first occurance. If such is not found, return null.</w:t>
      </w:r>
      <w:r w:rsidR="000808B7">
        <w:t xml:space="preserve"> Searching is case insensitive.</w:t>
      </w:r>
    </w:p>
    <w:p w:rsidR="00E713B1" w:rsidRDefault="00E713B1" w:rsidP="00E713B1">
      <w:r>
        <w:lastRenderedPageBreak/>
        <w:t>Companies</w:t>
      </w:r>
      <w:r w:rsidR="00C1648E">
        <w:t xml:space="preserve"> should only be created through the </w:t>
      </w:r>
      <w:r w:rsidR="00C1648E" w:rsidRPr="00F70B35">
        <w:rPr>
          <w:rStyle w:val="Code"/>
        </w:rPr>
        <w:t>I</w:t>
      </w:r>
      <w:r w:rsidR="00C1648E">
        <w:rPr>
          <w:rStyle w:val="Code"/>
        </w:rPr>
        <w:t>CompanyFactory</w:t>
      </w:r>
      <w:r w:rsidRPr="00E713B1">
        <w:t xml:space="preserve"> </w:t>
      </w:r>
      <w:r>
        <w:t xml:space="preserve">implemented by a class named </w:t>
      </w:r>
      <w:r w:rsidRPr="00E713B1">
        <w:rPr>
          <w:b/>
        </w:rPr>
        <w:t>CompanyFactory</w:t>
      </w:r>
      <w:r>
        <w:t xml:space="preserve">. Furniture should only be created through the </w:t>
      </w:r>
      <w:r w:rsidRPr="00F70B35">
        <w:rPr>
          <w:rStyle w:val="Code"/>
        </w:rPr>
        <w:t>I</w:t>
      </w:r>
      <w:r w:rsidR="0073364B">
        <w:rPr>
          <w:rStyle w:val="Code"/>
        </w:rPr>
        <w:t>Furniture</w:t>
      </w:r>
      <w:r>
        <w:rPr>
          <w:rStyle w:val="Code"/>
        </w:rPr>
        <w:t>Factory</w:t>
      </w:r>
      <w:r w:rsidRPr="00E713B1">
        <w:t xml:space="preserve"> </w:t>
      </w:r>
      <w:r>
        <w:t xml:space="preserve">implemented by a class named </w:t>
      </w:r>
      <w:r w:rsidR="0005761E">
        <w:rPr>
          <w:b/>
        </w:rPr>
        <w:t>Furniture</w:t>
      </w:r>
      <w:r w:rsidRPr="00E713B1">
        <w:rPr>
          <w:b/>
        </w:rPr>
        <w:t>Factory</w:t>
      </w:r>
      <w:r>
        <w:t xml:space="preserve">. </w:t>
      </w:r>
      <w:r w:rsidR="00CD603A">
        <w:t xml:space="preserve">Both classes are in the </w:t>
      </w:r>
      <w:r w:rsidR="00CD603A" w:rsidRPr="00F35196">
        <w:rPr>
          <w:rFonts w:ascii="Consolas" w:hAnsi="Consolas" w:cs="Consolas"/>
          <w:b/>
        </w:rPr>
        <w:t xml:space="preserve">FurnitureManufacturer.Engine.Factories </w:t>
      </w:r>
      <w:r w:rsidR="00CD603A"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furniture 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should be ordered by price then by model.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proofErr w:type="gramStart"/>
      <w:r w:rsidRPr="00AE6E87">
        <w:rPr>
          <w:b/>
        </w:rPr>
        <w:t>“1 furniture”</w:t>
      </w:r>
      <w:proofErr w:type="gramEnd"/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520D3E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"{0} - {1} - {2} {3}",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this.Name,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this.RegistrationNumber,</w:t>
            </w:r>
          </w:p>
          <w:p w:rsidR="00BA1651" w:rsidRPr="00BA1651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0 ? this.Furnitures.Count.ToString() : </w:t>
            </w:r>
            <w:r w:rsidR="007A4202" w:rsidRPr="007A4202">
              <w:rPr>
                <w:rStyle w:val="Code"/>
                <w:rFonts w:cs="Consolas"/>
                <w:noProof w:val="0"/>
                <w:sz w:val="20"/>
                <w:szCs w:val="20"/>
              </w:rPr>
              <w:t>"no"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this.Furnitures.Count != </w:t>
            </w:r>
            <w:r w:rsidR="007C18CB">
              <w:rPr>
                <w:rStyle w:val="Code"/>
                <w:rFonts w:cs="Consolas"/>
                <w:noProof w:val="0"/>
                <w:sz w:val="20"/>
                <w:szCs w:val="20"/>
              </w:rPr>
              <w:t>1</w:t>
            </w:r>
            <w:r w:rsidRPr="00BA1651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? </w:t>
            </w:r>
            <w:r w:rsidR="00363DA2" w:rsidRPr="00363DA2">
              <w:rPr>
                <w:rStyle w:val="Code"/>
                <w:rFonts w:cs="Consolas"/>
                <w:noProof w:val="0"/>
                <w:sz w:val="20"/>
                <w:szCs w:val="20"/>
              </w:rPr>
              <w:t>"furnitures"</w:t>
            </w:r>
            <w:r w:rsidR="00D3415B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 : </w:t>
            </w:r>
            <w:r w:rsidR="007D765A" w:rsidRPr="007D765A">
              <w:rPr>
                <w:rStyle w:val="Code"/>
                <w:rFonts w:cs="Consolas"/>
                <w:noProof w:val="0"/>
                <w:sz w:val="20"/>
                <w:szCs w:val="20"/>
              </w:rPr>
              <w:t>"furniture"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7156CD" w:rsidRPr="007156CD">
              <w:rPr>
                <w:rStyle w:val="Code"/>
                <w:rFonts w:cs="Consolas"/>
                <w:noProof w:val="0"/>
                <w:sz w:val="20"/>
                <w:szCs w:val="20"/>
              </w:rPr>
              <w:t>Type: {0}, Model: {1}, Material: {2}, Price: {3}, Height: {4}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, Length: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5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Width: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6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}, Area: {</w:t>
            </w:r>
            <w:r w:rsidR="00FC71A8">
              <w:rPr>
                <w:rStyle w:val="Code"/>
                <w:rFonts w:cs="Consolas"/>
                <w:noProof w:val="0"/>
                <w:sz w:val="20"/>
                <w:szCs w:val="20"/>
              </w:rPr>
              <w:t>7</w:t>
            </w:r>
            <w:r w:rsidR="00FC71A8" w:rsidRPr="00FC71A8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D826EE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B035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0357A">
              <w:t xml:space="preserve"> </w:t>
            </w:r>
            <w:r w:rsidR="00B0357A" w:rsidRPr="00B0357A">
              <w:rPr>
                <w:rStyle w:val="Code"/>
                <w:rFonts w:cs="Consolas"/>
                <w:noProof w:val="0"/>
                <w:sz w:val="20"/>
                <w:szCs w:val="20"/>
              </w:rPr>
              <w:t>this.Length, this.Width, this.Area</w:t>
            </w:r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 w:rsidR="00B3037A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B3037A"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this.GetType().Name, this.Model, this.Material, this.Price, this.Height</w:t>
            </w:r>
            <w:r w:rsidR="00FF5F38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="00FF5F38"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520D3E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084158" w:rsidRDefault="008E2C23" w:rsidP="00520D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"Type: {0}, Model: {1}, Material: {2}, Price: {3}, Height: {4}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, Legs: {5</w:t>
            </w:r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="00461B1A">
              <w:rPr>
                <w:rStyle w:val="Code"/>
                <w:rFonts w:cs="Consolas"/>
                <w:noProof w:val="0"/>
                <w:sz w:val="20"/>
                <w:szCs w:val="20"/>
              </w:rPr>
              <w:t>, State: {6</w:t>
            </w:r>
            <w:r w:rsidR="003F2B32" w:rsidRPr="003F2B32">
              <w:rPr>
                <w:rStyle w:val="Code"/>
                <w:rFonts w:cs="Consolas"/>
                <w:noProof w:val="0"/>
                <w:sz w:val="20"/>
                <w:szCs w:val="20"/>
              </w:rPr>
              <w:t>}</w:t>
            </w:r>
            <w:r w:rsidRPr="00E94E6E">
              <w:rPr>
                <w:rStyle w:val="Code"/>
                <w:rFonts w:cs="Consolas"/>
                <w:noProof w:val="0"/>
                <w:sz w:val="20"/>
                <w:szCs w:val="20"/>
              </w:rPr>
              <w:t>"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proofErr w:type="gramStart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this.GetType(</w:t>
            </w:r>
            <w:proofErr w:type="gramEnd"/>
            <w:r w:rsidRPr="00B3037A">
              <w:rPr>
                <w:rStyle w:val="Code"/>
                <w:rFonts w:cs="Consolas"/>
                <w:noProof w:val="0"/>
                <w:sz w:val="20"/>
                <w:szCs w:val="20"/>
              </w:rPr>
              <w:t>).Name, this.Model, this.Material, this.Price, this.Height</w:t>
            </w: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</w:t>
            </w:r>
            <w:r w:rsidRPr="00FF5F38">
              <w:rPr>
                <w:rStyle w:val="Code"/>
                <w:rFonts w:cs="Consolas"/>
                <w:noProof w:val="0"/>
                <w:sz w:val="20"/>
                <w:szCs w:val="20"/>
              </w:rPr>
              <w:t>this.NumberOfLegs</w:t>
            </w:r>
            <w:r w:rsidR="00C15297" w:rsidRPr="00C15297">
              <w:rPr>
                <w:rStyle w:val="Code"/>
                <w:rFonts w:cs="Consolas"/>
                <w:noProof w:val="0"/>
                <w:sz w:val="20"/>
                <w:szCs w:val="20"/>
              </w:rPr>
              <w:t xml:space="preserve">, this.IsConverted ? "Converted" : </w:t>
            </w:r>
            <w:r w:rsidR="00BD4D49" w:rsidRPr="00BD4D49">
              <w:rPr>
                <w:rStyle w:val="Code"/>
                <w:rFonts w:cs="Consolas"/>
                <w:noProof w:val="0"/>
                <w:sz w:val="20"/>
                <w:szCs w:val="20"/>
              </w:rPr>
              <w:t>"Normal"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bookmarkStart w:id="0" w:name="_GoBack"/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  <w:bookmarkEnd w:id="0"/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D40" w:rsidRDefault="00681D40" w:rsidP="008068A2">
      <w:pPr>
        <w:spacing w:after="0" w:line="240" w:lineRule="auto"/>
      </w:pPr>
      <w:r>
        <w:separator/>
      </w:r>
    </w:p>
  </w:endnote>
  <w:endnote w:type="continuationSeparator" w:id="0">
    <w:p w:rsidR="00681D40" w:rsidRDefault="00681D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796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27969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2796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27969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D40" w:rsidRDefault="00681D40" w:rsidP="008068A2">
      <w:pPr>
        <w:spacing w:after="0" w:line="240" w:lineRule="auto"/>
      </w:pPr>
      <w:r>
        <w:separator/>
      </w:r>
    </w:p>
  </w:footnote>
  <w:footnote w:type="continuationSeparator" w:id="0">
    <w:p w:rsidR="00681D40" w:rsidRDefault="00681D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27969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1D40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830F5"/>
    <w:rsid w:val="00987321"/>
    <w:rsid w:val="009A1E54"/>
    <w:rsid w:val="009A6200"/>
    <w:rsid w:val="009B6258"/>
    <w:rsid w:val="009C25F1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4E01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B0E2D"/>
    <w:rsid w:val="00EB194E"/>
    <w:rsid w:val="00EB3DB2"/>
    <w:rsid w:val="00EB4EDC"/>
    <w:rsid w:val="00EB5997"/>
    <w:rsid w:val="00EE0C94"/>
    <w:rsid w:val="00EE3EBD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970E6-8013-4297-8922-E66A142AA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6419</TotalTime>
  <Pages>1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User</cp:lastModifiedBy>
  <cp:revision>296</cp:revision>
  <cp:lastPrinted>2013-03-18T12:39:00Z</cp:lastPrinted>
  <dcterms:created xsi:type="dcterms:W3CDTF">2013-12-12T10:45:00Z</dcterms:created>
  <dcterms:modified xsi:type="dcterms:W3CDTF">2016-08-16T19:52:00Z</dcterms:modified>
</cp:coreProperties>
</file>